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731C" w14:textId="77777777" w:rsidR="00C56678" w:rsidRPr="00602914" w:rsidRDefault="00602914" w:rsidP="00BB5833">
      <w:pPr>
        <w:tabs>
          <w:tab w:val="center" w:pos="4536"/>
        </w:tabs>
        <w:spacing w:line="240" w:lineRule="auto"/>
        <w:jc w:val="both"/>
      </w:pPr>
      <w:r>
        <w:rPr>
          <w:noProof/>
          <w:lang w:eastAsia="hr-HR"/>
        </w:rPr>
        <mc:AlternateContent>
          <mc:Choice Requires="wps">
            <w:drawing>
              <wp:anchor distT="0" distB="0" distL="114300" distR="114300" simplePos="0" relativeHeight="251662336" behindDoc="0" locked="0" layoutInCell="1" allowOverlap="1" wp14:anchorId="6A4DB676" wp14:editId="425DC1C1">
                <wp:simplePos x="0" y="0"/>
                <wp:positionH relativeFrom="column">
                  <wp:posOffset>1881506</wp:posOffset>
                </wp:positionH>
                <wp:positionV relativeFrom="paragraph">
                  <wp:posOffset>14604</wp:posOffset>
                </wp:positionV>
                <wp:extent cx="0" cy="1304925"/>
                <wp:effectExtent l="0" t="0" r="19050" b="28575"/>
                <wp:wrapNone/>
                <wp:docPr id="5" name="Ravni poveznik 5"/>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6BFB5" id="Ravni poveznik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15pt,1.15pt" to="148.1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" strokecolor="#a5a5a5 [3206]" strokeweight=".5pt">
                <v:stroke joinstyle="miter"/>
              </v:line>
            </w:pict>
          </mc:Fallback>
        </mc:AlternateContent>
      </w:r>
      <w:r w:rsidR="001D70F5" w:rsidRPr="0017110C">
        <w:rPr>
          <w:noProof/>
          <w:lang w:eastAsia="hr-HR"/>
        </w:rPr>
        <w:drawing>
          <wp:anchor distT="0" distB="0" distL="114300" distR="114300" simplePos="0" relativeHeight="251660288" behindDoc="0" locked="0" layoutInCell="1" allowOverlap="0" wp14:anchorId="21DEF0BE" wp14:editId="00C66485">
            <wp:simplePos x="0" y="0"/>
            <wp:positionH relativeFrom="margin">
              <wp:posOffset>281305</wp:posOffset>
            </wp:positionH>
            <wp:positionV relativeFrom="paragraph">
              <wp:posOffset>-4445</wp:posOffset>
            </wp:positionV>
            <wp:extent cx="923792" cy="1001976"/>
            <wp:effectExtent l="0" t="0" r="0" b="8255"/>
            <wp:wrapNone/>
            <wp:docPr id="3" name="Slika 3" descr="C:\Users\JASNA\Desktop\lo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NA\Desktop\loo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758" cy="10225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678">
        <w:tab/>
      </w:r>
      <w:r>
        <w:t xml:space="preserve">           </w:t>
      </w:r>
      <w:r w:rsidR="006A0C66">
        <w:t xml:space="preserve">  </w:t>
      </w:r>
      <w:r w:rsidRPr="00602914">
        <w:rPr>
          <w:b/>
          <w:color w:val="C45911" w:themeColor="accent2" w:themeShade="BF"/>
          <w:sz w:val="20"/>
          <w:szCs w:val="20"/>
        </w:rPr>
        <w:t>KOMUNALNO HVAR</w:t>
      </w:r>
      <w:r w:rsidRPr="00602914">
        <w:rPr>
          <w:color w:val="C45911" w:themeColor="accent2" w:themeShade="BF"/>
          <w:sz w:val="20"/>
          <w:szCs w:val="20"/>
        </w:rPr>
        <w:t xml:space="preserve"> </w:t>
      </w:r>
      <w:r w:rsidR="00C56678" w:rsidRPr="00602914">
        <w:rPr>
          <w:sz w:val="20"/>
          <w:szCs w:val="20"/>
        </w:rPr>
        <w:t>d.o.o.</w:t>
      </w:r>
    </w:p>
    <w:p w14:paraId="50A6F002" w14:textId="77777777" w:rsidR="00C56678" w:rsidRPr="00602914" w:rsidRDefault="00C56678" w:rsidP="00BB5833">
      <w:pPr>
        <w:tabs>
          <w:tab w:val="center" w:pos="4536"/>
        </w:tabs>
        <w:spacing w:line="240" w:lineRule="auto"/>
        <w:jc w:val="both"/>
        <w:rPr>
          <w:sz w:val="20"/>
          <w:szCs w:val="20"/>
        </w:rPr>
      </w:pPr>
      <w:r w:rsidRPr="00602914">
        <w:rPr>
          <w:sz w:val="20"/>
          <w:szCs w:val="20"/>
        </w:rPr>
        <w:tab/>
      </w:r>
      <w:r w:rsidR="00132F17" w:rsidRPr="00602914">
        <w:rPr>
          <w:sz w:val="20"/>
          <w:szCs w:val="20"/>
        </w:rPr>
        <w:t xml:space="preserve">               </w:t>
      </w:r>
      <w:r w:rsidR="006A0C66">
        <w:rPr>
          <w:sz w:val="20"/>
          <w:szCs w:val="20"/>
        </w:rPr>
        <w:t xml:space="preserve"> </w:t>
      </w:r>
      <w:r w:rsidR="00132F17" w:rsidRPr="00602914">
        <w:rPr>
          <w:sz w:val="20"/>
          <w:szCs w:val="20"/>
        </w:rPr>
        <w:t>Vlade S</w:t>
      </w:r>
      <w:r w:rsidRPr="00602914">
        <w:rPr>
          <w:sz w:val="20"/>
          <w:szCs w:val="20"/>
        </w:rPr>
        <w:t>tošića 7, 21450 Hvar</w:t>
      </w:r>
    </w:p>
    <w:p w14:paraId="2F5259DD" w14:textId="77777777" w:rsidR="00C56678" w:rsidRPr="008A1AE3" w:rsidRDefault="00B31636" w:rsidP="00B31636">
      <w:pPr>
        <w:tabs>
          <w:tab w:val="left" w:pos="3975"/>
        </w:tabs>
        <w:spacing w:line="240" w:lineRule="auto"/>
        <w:jc w:val="both"/>
        <w:rPr>
          <w:b/>
          <w:sz w:val="20"/>
          <w:szCs w:val="20"/>
        </w:rPr>
      </w:pPr>
      <w:r>
        <w:rPr>
          <w:b/>
          <w:sz w:val="20"/>
          <w:szCs w:val="20"/>
        </w:rPr>
        <w:tab/>
        <w:t>Oib: 85724396887</w:t>
      </w:r>
    </w:p>
    <w:p w14:paraId="054E44A9" w14:textId="77777777" w:rsidR="00602914" w:rsidRDefault="00C56678" w:rsidP="00BB5833">
      <w:pPr>
        <w:tabs>
          <w:tab w:val="center" w:pos="4536"/>
        </w:tabs>
        <w:spacing w:line="240" w:lineRule="auto"/>
        <w:jc w:val="both"/>
      </w:pPr>
      <w:r w:rsidRPr="00602914">
        <w:rPr>
          <w:sz w:val="20"/>
          <w:szCs w:val="20"/>
        </w:rPr>
        <w:tab/>
      </w:r>
      <w:r w:rsidR="00132F17" w:rsidRPr="00602914">
        <w:rPr>
          <w:sz w:val="20"/>
          <w:szCs w:val="20"/>
        </w:rPr>
        <w:t xml:space="preserve">              </w:t>
      </w:r>
      <w:hyperlink r:id="rId9" w:history="1">
        <w:r w:rsidRPr="00602914">
          <w:rPr>
            <w:rStyle w:val="Hiperveza"/>
            <w:sz w:val="20"/>
            <w:szCs w:val="20"/>
          </w:rPr>
          <w:t>www.komunalnohvar.com</w:t>
        </w:r>
      </w:hyperlink>
      <w:r w:rsidR="0017110C">
        <w:t xml:space="preserve">                           </w:t>
      </w:r>
      <w:r>
        <w:tab/>
      </w:r>
    </w:p>
    <w:p w14:paraId="26ACC4EA" w14:textId="77777777" w:rsidR="00110706" w:rsidRDefault="00000000" w:rsidP="00852E5E">
      <w:pPr>
        <w:tabs>
          <w:tab w:val="center" w:pos="4536"/>
        </w:tabs>
        <w:spacing w:line="240" w:lineRule="auto"/>
        <w:jc w:val="both"/>
        <w:rPr>
          <w:rFonts w:ascii="Georgia" w:eastAsia="Times New Roman" w:hAnsi="Georgia" w:cs="Times New Roman"/>
          <w:sz w:val="52"/>
          <w:szCs w:val="52"/>
          <w:lang w:eastAsia="hr-HR"/>
        </w:rPr>
      </w:pPr>
      <w:r>
        <w:pict w14:anchorId="560AFE55">
          <v:rect id="_x0000_i1025" style="width:0;height:1.5pt" o:hralign="center" o:hrstd="t" o:hr="t" fillcolor="#a0a0a0" stroked="f"/>
        </w:pict>
      </w:r>
    </w:p>
    <w:p w14:paraId="788B23C0" w14:textId="77777777" w:rsidR="003E45A9" w:rsidRDefault="003E45A9" w:rsidP="003E45A9"/>
    <w:p w14:paraId="5024B3CB" w14:textId="77777777" w:rsidR="00B01714" w:rsidRDefault="00B01714" w:rsidP="003E45A9"/>
    <w:p w14:paraId="7B07C605" w14:textId="77777777" w:rsidR="00B01714" w:rsidRDefault="00B01714" w:rsidP="003E45A9"/>
    <w:p w14:paraId="7A20B9F0" w14:textId="4546B9C2" w:rsidR="009E7337" w:rsidRPr="00CE3B1C" w:rsidRDefault="009E7337" w:rsidP="009E7337">
      <w:pPr>
        <w:jc w:val="center"/>
        <w:rPr>
          <w:rFonts w:ascii="Times New Roman" w:hAnsi="Times New Roman" w:cs="Times New Roman"/>
          <w:b/>
          <w:bCs/>
          <w:sz w:val="28"/>
          <w:szCs w:val="28"/>
        </w:rPr>
      </w:pPr>
      <w:r w:rsidRPr="00CE3B1C">
        <w:rPr>
          <w:rFonts w:ascii="Times New Roman" w:hAnsi="Times New Roman" w:cs="Times New Roman"/>
          <w:b/>
          <w:bCs/>
          <w:sz w:val="28"/>
          <w:szCs w:val="28"/>
        </w:rPr>
        <w:t xml:space="preserve">JAVNO SAVJETOVANJE O PRIJEDLOGU CJENIKA USLUGE PRIKUPLJANJA MIJEŠANOG KOMUNALNOG OTPADA ZA PODRUČJE GRADA </w:t>
      </w:r>
      <w:r>
        <w:rPr>
          <w:rFonts w:ascii="Times New Roman" w:hAnsi="Times New Roman" w:cs="Times New Roman"/>
          <w:b/>
          <w:bCs/>
          <w:sz w:val="28"/>
          <w:szCs w:val="28"/>
        </w:rPr>
        <w:t>HVARA</w:t>
      </w:r>
    </w:p>
    <w:p w14:paraId="548A347B" w14:textId="77777777" w:rsidR="009E7337" w:rsidRPr="00CE3B1C" w:rsidRDefault="009E7337" w:rsidP="009E7337">
      <w:pPr>
        <w:jc w:val="both"/>
        <w:rPr>
          <w:rFonts w:ascii="Times New Roman" w:hAnsi="Times New Roman" w:cs="Times New Roman"/>
          <w:sz w:val="24"/>
          <w:szCs w:val="24"/>
        </w:rPr>
      </w:pPr>
    </w:p>
    <w:p w14:paraId="550C3C1B" w14:textId="1D5984A5" w:rsidR="009E7337" w:rsidRPr="00CE3B1C" w:rsidRDefault="009E7337" w:rsidP="009E7337">
      <w:pPr>
        <w:pStyle w:val="box468252"/>
        <w:shd w:val="clear" w:color="auto" w:fill="FFFFFF"/>
        <w:spacing w:after="48"/>
        <w:jc w:val="both"/>
        <w:textAlignment w:val="baseline"/>
        <w:rPr>
          <w:rFonts w:eastAsiaTheme="minorHAnsi"/>
          <w:lang w:val="hr-HR"/>
        </w:rPr>
      </w:pPr>
      <w:r w:rsidRPr="00CE3B1C">
        <w:rPr>
          <w:rFonts w:eastAsiaTheme="minorHAnsi"/>
          <w:lang w:val="hr-HR"/>
        </w:rPr>
        <w:t>Sukladno Zakonu o gospodarenju otpadom (NN 84/21 i 142/23</w:t>
      </w:r>
      <w:r w:rsidR="00934117">
        <w:rPr>
          <w:rFonts w:eastAsiaTheme="minorHAnsi"/>
          <w:lang w:val="hr-HR"/>
        </w:rPr>
        <w:t xml:space="preserve"> </w:t>
      </w:r>
      <w:r w:rsidRPr="00CE3B1C">
        <w:rPr>
          <w:rFonts w:eastAsiaTheme="minorHAnsi"/>
          <w:lang w:val="hr-HR"/>
        </w:rPr>
        <w:t>u daljnjem tekstu: Zakon)  Cjenik javne usluge (u daljnjem tekstu: Cjenik) je opći akt koji donosi davatelj usluge na temelju Odluke o načinu pružanja javne usluge određene jedinice lokalne samouprave.</w:t>
      </w:r>
    </w:p>
    <w:p w14:paraId="516AC773" w14:textId="09025DDA" w:rsidR="009E7337" w:rsidRPr="00CE3B1C" w:rsidRDefault="009E7337" w:rsidP="00791B2B">
      <w:pPr>
        <w:pStyle w:val="Default"/>
        <w:rPr>
          <w:color w:val="EE0000"/>
        </w:rPr>
      </w:pPr>
      <w:r w:rsidRPr="00CE3B1C">
        <w:t>Odluka</w:t>
      </w:r>
      <w:r w:rsidR="00791B2B">
        <w:rPr>
          <w:rFonts w:ascii="Times New Roman" w:hAnsi="Times New Roman" w:cs="Times New Roman"/>
        </w:rPr>
        <w:tab/>
        <w:t>o izmjenama i dopunama odluke o načinu pružanja javne usluge sakupljanja komunalnog otpada na području Grada Hvara ( u daljnjem tekstu Odluka)</w:t>
      </w:r>
      <w:r w:rsidR="00791B2B">
        <w:t xml:space="preserve"> </w:t>
      </w:r>
      <w:r w:rsidRPr="00CE3B1C">
        <w:t>usvojena je na</w:t>
      </w:r>
      <w:r>
        <w:t xml:space="preserve"> </w:t>
      </w:r>
      <w:r w:rsidR="00BD7BFF">
        <w:t>12</w:t>
      </w:r>
      <w:r>
        <w:t>.</w:t>
      </w:r>
      <w:r w:rsidRPr="00CE3B1C">
        <w:t xml:space="preserve"> Sjednic</w:t>
      </w:r>
      <w:r>
        <w:t xml:space="preserve">i </w:t>
      </w:r>
      <w:r w:rsidRPr="00CE3B1C">
        <w:t xml:space="preserve">Gradskog vijeća Grada </w:t>
      </w:r>
      <w:r w:rsidR="00791B2B">
        <w:t>Hvara</w:t>
      </w:r>
      <w:r>
        <w:rPr>
          <w:color w:val="EE0000"/>
        </w:rPr>
        <w:t xml:space="preserve"> </w:t>
      </w:r>
      <w:r w:rsidR="00791B2B" w:rsidRPr="009E4305">
        <w:rPr>
          <w:color w:val="auto"/>
        </w:rPr>
        <w:t xml:space="preserve">održanoj 01. srpnja </w:t>
      </w:r>
      <w:r w:rsidRPr="009E4305">
        <w:rPr>
          <w:color w:val="auto"/>
        </w:rPr>
        <w:t>202</w:t>
      </w:r>
      <w:r w:rsidR="00791B2B" w:rsidRPr="009E4305">
        <w:rPr>
          <w:color w:val="auto"/>
        </w:rPr>
        <w:t>6</w:t>
      </w:r>
      <w:r w:rsidRPr="009E4305">
        <w:rPr>
          <w:color w:val="auto"/>
        </w:rPr>
        <w:t xml:space="preserve">. g. („Službeni glasnik Grada </w:t>
      </w:r>
      <w:r w:rsidR="00791B2B" w:rsidRPr="009E4305">
        <w:rPr>
          <w:color w:val="auto"/>
        </w:rPr>
        <w:t>Hvara</w:t>
      </w:r>
      <w:r w:rsidRPr="009E4305">
        <w:rPr>
          <w:color w:val="auto"/>
        </w:rPr>
        <w:t>“ br</w:t>
      </w:r>
      <w:r w:rsidR="00BD7BFF" w:rsidRPr="009E4305">
        <w:rPr>
          <w:color w:val="auto"/>
        </w:rPr>
        <w:t>. 6/</w:t>
      </w:r>
      <w:r w:rsidRPr="009E4305">
        <w:rPr>
          <w:color w:val="auto"/>
        </w:rPr>
        <w:t>202</w:t>
      </w:r>
      <w:r w:rsidR="00791B2B" w:rsidRPr="009E4305">
        <w:rPr>
          <w:color w:val="auto"/>
        </w:rPr>
        <w:t>6</w:t>
      </w:r>
      <w:r w:rsidRPr="009E4305">
        <w:rPr>
          <w:color w:val="auto"/>
        </w:rPr>
        <w:t>)</w:t>
      </w:r>
    </w:p>
    <w:p w14:paraId="08727959" w14:textId="2C97CD6A" w:rsidR="009E7337" w:rsidRPr="00CE3B1C" w:rsidRDefault="009E7337" w:rsidP="009E7337">
      <w:pPr>
        <w:pStyle w:val="box468252"/>
        <w:shd w:val="clear" w:color="auto" w:fill="FFFFFF"/>
        <w:spacing w:after="48"/>
        <w:jc w:val="both"/>
        <w:textAlignment w:val="baseline"/>
        <w:rPr>
          <w:rFonts w:eastAsiaTheme="minorHAnsi"/>
          <w:lang w:val="hr-HR"/>
        </w:rPr>
      </w:pPr>
      <w:r w:rsidRPr="00CE3B1C">
        <w:rPr>
          <w:rFonts w:eastAsiaTheme="minorHAnsi"/>
          <w:lang w:val="hr-HR"/>
        </w:rPr>
        <w:t xml:space="preserve">Davatelj javne usluge na području Grada </w:t>
      </w:r>
      <w:r>
        <w:rPr>
          <w:rFonts w:eastAsiaTheme="minorHAnsi"/>
          <w:lang w:val="hr-HR"/>
        </w:rPr>
        <w:t>Hvara</w:t>
      </w:r>
      <w:r w:rsidRPr="00CE3B1C">
        <w:rPr>
          <w:rFonts w:eastAsiaTheme="minorHAnsi"/>
          <w:lang w:val="hr-HR"/>
        </w:rPr>
        <w:t xml:space="preserve"> je tvrtka „</w:t>
      </w:r>
      <w:r>
        <w:rPr>
          <w:rFonts w:eastAsiaTheme="minorHAnsi"/>
          <w:lang w:val="hr-HR"/>
        </w:rPr>
        <w:t>KOMUNALNO HVAR</w:t>
      </w:r>
      <w:r w:rsidRPr="00CE3B1C">
        <w:rPr>
          <w:rFonts w:eastAsiaTheme="minorHAnsi"/>
          <w:lang w:val="hr-HR"/>
        </w:rPr>
        <w:t xml:space="preserve"> d.o.o.“.</w:t>
      </w:r>
    </w:p>
    <w:p w14:paraId="2AA5F465" w14:textId="77777777" w:rsidR="009E7337" w:rsidRPr="00CE3B1C" w:rsidRDefault="009E7337" w:rsidP="009E7337">
      <w:pPr>
        <w:pStyle w:val="box468252"/>
        <w:shd w:val="clear" w:color="auto" w:fill="FFFFFF"/>
        <w:spacing w:after="48"/>
        <w:jc w:val="both"/>
        <w:textAlignment w:val="baseline"/>
        <w:rPr>
          <w:rFonts w:eastAsiaTheme="minorHAnsi"/>
          <w:lang w:val="hr-HR"/>
        </w:rPr>
      </w:pPr>
      <w:r w:rsidRPr="00CE3B1C">
        <w:rPr>
          <w:rFonts w:eastAsiaTheme="minorHAnsi"/>
          <w:lang w:val="hr-HR"/>
        </w:rPr>
        <w:t>Cijena javne usluge plaća se radi pokrića troškova pružanja javne usluge, a struktura cijene javne usluge sastoji se od: cijene obvezne minimalne javne usluge i cijene za količinu predanog miješanog komunalnog otpada.</w:t>
      </w:r>
    </w:p>
    <w:p w14:paraId="3B9D8ED9" w14:textId="4BF95A25" w:rsidR="009E7337" w:rsidRPr="00CE3B1C" w:rsidRDefault="009E7337" w:rsidP="009E7337">
      <w:pPr>
        <w:pStyle w:val="box468252"/>
        <w:shd w:val="clear" w:color="auto" w:fill="FFFFFF"/>
        <w:spacing w:after="48"/>
        <w:jc w:val="both"/>
        <w:textAlignment w:val="baseline"/>
        <w:rPr>
          <w:rFonts w:eastAsiaTheme="minorHAnsi"/>
          <w:color w:val="000000" w:themeColor="text1"/>
          <w:lang w:val="hr-HR"/>
        </w:rPr>
      </w:pPr>
      <w:r w:rsidRPr="00CE3B1C">
        <w:rPr>
          <w:rFonts w:eastAsiaTheme="minorHAnsi"/>
          <w:lang w:val="hr-HR"/>
        </w:rPr>
        <w:t>Obvezna minimalna javna usluga je iznos koji se osigurava radi ekonomski održivog poslovanja te sigurnosti, redovitosti i kvalitete pružanja javne usluge, kako bi sustav sakupljanja komunalnog otpada mogao ispuniti svoju svrhu.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w:t>
      </w:r>
      <w:r w:rsidR="00916370">
        <w:rPr>
          <w:rFonts w:eastAsiaTheme="minorHAnsi"/>
          <w:lang w:val="hr-HR"/>
        </w:rPr>
        <w:t>i</w:t>
      </w:r>
      <w:r w:rsidRPr="00CE3B1C">
        <w:rPr>
          <w:rFonts w:eastAsiaTheme="minorHAnsi"/>
          <w:lang w:val="hr-HR"/>
        </w:rPr>
        <w:t xml:space="preserve"> rada i</w:t>
      </w:r>
      <w:r w:rsidR="00916370">
        <w:rPr>
          <w:rFonts w:eastAsiaTheme="minorHAnsi"/>
          <w:lang w:val="hr-HR"/>
        </w:rPr>
        <w:t xml:space="preserve"> načela </w:t>
      </w:r>
      <w:r w:rsidRPr="00CE3B1C">
        <w:rPr>
          <w:rFonts w:eastAsiaTheme="minorHAnsi"/>
          <w:color w:val="000000" w:themeColor="text1"/>
          <w:lang w:val="hr-HR"/>
        </w:rPr>
        <w:t>onečišćivač plaća, kako bi se osiguralo i poticalo odvojeno sakupljanje otpada.</w:t>
      </w:r>
    </w:p>
    <w:p w14:paraId="267DF19A" w14:textId="77777777" w:rsidR="009E7337" w:rsidRPr="00CE3B1C" w:rsidRDefault="009E7337" w:rsidP="009E7337">
      <w:pPr>
        <w:pStyle w:val="box468252"/>
        <w:shd w:val="clear" w:color="auto" w:fill="FFFFFF"/>
        <w:spacing w:after="48"/>
        <w:jc w:val="both"/>
        <w:textAlignment w:val="baseline"/>
        <w:rPr>
          <w:rFonts w:eastAsiaTheme="minorHAnsi"/>
          <w:color w:val="000000" w:themeColor="text1"/>
          <w:lang w:val="hr-HR"/>
        </w:rPr>
      </w:pPr>
      <w:r w:rsidRPr="00CE3B1C">
        <w:rPr>
          <w:rFonts w:eastAsiaTheme="minorHAnsi"/>
          <w:color w:val="000000" w:themeColor="text1"/>
          <w:lang w:val="hr-HR"/>
        </w:rPr>
        <w:t>Na području pružanja javne usluge primjenjuje se jedinstvena cijena obvezne minimalne javne usluge za korisnika usluge razvrstanog u kategoriju korisnika kućanstvo i jedinstvena cijena obvezne minimalne javne usluge za korisnika usluge razvrstanog u kategoriju korisnika koji nije kućanstvo.</w:t>
      </w:r>
    </w:p>
    <w:p w14:paraId="48AA6175" w14:textId="77777777" w:rsidR="009E7337" w:rsidRPr="00CE3B1C" w:rsidRDefault="009E7337" w:rsidP="009E7337">
      <w:pPr>
        <w:pStyle w:val="box468252"/>
        <w:shd w:val="clear" w:color="auto" w:fill="FFFFFF"/>
        <w:spacing w:after="48"/>
        <w:jc w:val="both"/>
        <w:textAlignment w:val="baseline"/>
        <w:rPr>
          <w:rFonts w:eastAsiaTheme="minorHAnsi"/>
          <w:color w:val="000000" w:themeColor="text1"/>
          <w:lang w:val="hr-HR"/>
        </w:rPr>
      </w:pPr>
      <w:r w:rsidRPr="00CE3B1C">
        <w:rPr>
          <w:rFonts w:eastAsiaTheme="minorHAnsi"/>
          <w:color w:val="000000" w:themeColor="text1"/>
          <w:lang w:val="hr-HR"/>
        </w:rPr>
        <w:lastRenderedPageBreak/>
        <w:t>Cjenikom se zasebno za korisnika razvrstanog u kategoriju kućanstvo i za korisnika razvrstanog u kategoriju korisnika koji nije kućanstvo određuje jedinična cijena za preuzimanje volumena spremnika miješanoga komunalnoga otpada.</w:t>
      </w:r>
    </w:p>
    <w:p w14:paraId="4B69AE67" w14:textId="77777777" w:rsidR="009E7337" w:rsidRPr="00CE3B1C" w:rsidRDefault="009E7337" w:rsidP="009E7337">
      <w:pPr>
        <w:pStyle w:val="box468252"/>
        <w:shd w:val="clear" w:color="auto" w:fill="FFFFFF"/>
        <w:spacing w:before="0" w:beforeAutospacing="0" w:after="48" w:afterAutospacing="0"/>
        <w:jc w:val="both"/>
        <w:textAlignment w:val="baseline"/>
        <w:rPr>
          <w:rFonts w:eastAsiaTheme="minorHAnsi"/>
          <w:color w:val="000000" w:themeColor="text1"/>
          <w:lang w:val="hr-HR"/>
        </w:rPr>
      </w:pPr>
      <w:r w:rsidRPr="00CE3B1C">
        <w:rPr>
          <w:rFonts w:eastAsiaTheme="minorHAnsi"/>
          <w:color w:val="000000" w:themeColor="text1"/>
          <w:lang w:val="hr-HR"/>
        </w:rPr>
        <w:t>Cjenik se donosi za područje pružanja javne usluge i sadrži cijenu u eurima za volumen preuzetog spremnika miješanog komunalnog otpada.</w:t>
      </w:r>
    </w:p>
    <w:p w14:paraId="30548AA6" w14:textId="77777777" w:rsidR="009E7337" w:rsidRPr="00CE3B1C" w:rsidRDefault="009E7337" w:rsidP="009E7337">
      <w:pPr>
        <w:pStyle w:val="box468252"/>
        <w:shd w:val="clear" w:color="auto" w:fill="FFFFFF"/>
        <w:spacing w:before="0" w:beforeAutospacing="0" w:after="48" w:afterAutospacing="0"/>
        <w:jc w:val="both"/>
        <w:textAlignment w:val="baseline"/>
        <w:rPr>
          <w:rFonts w:eastAsiaTheme="minorHAnsi"/>
          <w:color w:val="EE0000"/>
          <w:lang w:val="hr-HR"/>
        </w:rPr>
      </w:pPr>
    </w:p>
    <w:p w14:paraId="0D349B80" w14:textId="3E3131BE" w:rsidR="003E45A9" w:rsidRDefault="009E7337" w:rsidP="00791B2B">
      <w:pPr>
        <w:pStyle w:val="box468252"/>
        <w:shd w:val="clear" w:color="auto" w:fill="FFFFFF"/>
        <w:spacing w:before="0" w:beforeAutospacing="0" w:after="48" w:afterAutospacing="0"/>
        <w:jc w:val="both"/>
        <w:textAlignment w:val="baseline"/>
      </w:pPr>
      <w:r w:rsidRPr="00CE3B1C">
        <w:rPr>
          <w:color w:val="000000" w:themeColor="text1"/>
          <w:lang w:val="hr-HR"/>
        </w:rPr>
        <w:t>Davatelj usluge dužan je provesti prethodno javno savjetovanje od najmanje 30 dana o prijedlogu cjenika s obrazloženjem cijene i izmjene cijene te s obrazloženjem načina na koji je određena cijena obvezne minimalne javne usluge.</w:t>
      </w:r>
    </w:p>
    <w:p w14:paraId="0AA79B78" w14:textId="77777777" w:rsidR="003E45A9" w:rsidRDefault="003E45A9" w:rsidP="003E45A9"/>
    <w:p w14:paraId="01EE39E5" w14:textId="77777777" w:rsidR="00CA7247" w:rsidRDefault="00CA7247" w:rsidP="00CA7247">
      <w:pPr>
        <w:pStyle w:val="Naslov1"/>
      </w:pPr>
      <w:bookmarkStart w:id="0" w:name="_Toc183423641"/>
      <w:r>
        <w:t xml:space="preserve">Prijedlog </w:t>
      </w:r>
      <w:r w:rsidRPr="002F7E45">
        <w:t>Cjenik</w:t>
      </w:r>
      <w:r>
        <w:t>a</w:t>
      </w:r>
      <w:bookmarkEnd w:id="0"/>
      <w:r w:rsidRPr="002F7E45">
        <w:t xml:space="preserve"> </w:t>
      </w:r>
    </w:p>
    <w:p w14:paraId="2B2FA4C4" w14:textId="77777777" w:rsidR="00CA7247" w:rsidRDefault="00CA7247" w:rsidP="00CA7247">
      <w:pPr>
        <w:pStyle w:val="Naslov2"/>
      </w:pPr>
      <w:bookmarkStart w:id="1" w:name="_Toc183423642"/>
      <w:r w:rsidRPr="00562CCE">
        <w:t>Korisnici kategorija kućanstvo</w:t>
      </w:r>
      <w:r>
        <w:t>*</w:t>
      </w:r>
      <w:bookmarkEnd w:id="1"/>
    </w:p>
    <w:tbl>
      <w:tblPr>
        <w:tblStyle w:val="Reetkatablice"/>
        <w:tblW w:w="9493" w:type="dxa"/>
        <w:tblLayout w:type="fixed"/>
        <w:tblLook w:val="04A0" w:firstRow="1" w:lastRow="0" w:firstColumn="1" w:lastColumn="0" w:noHBand="0" w:noVBand="1"/>
      </w:tblPr>
      <w:tblGrid>
        <w:gridCol w:w="690"/>
        <w:gridCol w:w="5259"/>
        <w:gridCol w:w="1134"/>
        <w:gridCol w:w="1134"/>
        <w:gridCol w:w="1276"/>
      </w:tblGrid>
      <w:tr w:rsidR="00CA7247" w:rsidRPr="00E61C93" w14:paraId="3375D501" w14:textId="77777777" w:rsidTr="00C130CC">
        <w:tc>
          <w:tcPr>
            <w:tcW w:w="690" w:type="dxa"/>
          </w:tcPr>
          <w:p w14:paraId="5DD0AAE0" w14:textId="77777777" w:rsidR="00CA7247" w:rsidRPr="00E61C93" w:rsidRDefault="00CA7247" w:rsidP="00876643">
            <w:pPr>
              <w:pStyle w:val="box468252"/>
              <w:spacing w:before="0" w:beforeAutospacing="0" w:after="48" w:afterAutospacing="0"/>
              <w:textAlignment w:val="baseline"/>
              <w:rPr>
                <w:rFonts w:asciiTheme="minorHAnsi" w:hAnsiTheme="minorHAnsi" w:cstheme="minorHAnsi"/>
                <w:b/>
                <w:bCs/>
                <w:color w:val="231F20"/>
                <w:sz w:val="20"/>
                <w:szCs w:val="20"/>
              </w:rPr>
            </w:pPr>
            <w:r w:rsidRPr="00E61C93">
              <w:rPr>
                <w:rFonts w:asciiTheme="minorHAnsi" w:hAnsiTheme="minorHAnsi" w:cstheme="minorHAnsi"/>
                <w:b/>
                <w:bCs/>
                <w:color w:val="231F20"/>
                <w:sz w:val="20"/>
                <w:szCs w:val="20"/>
              </w:rPr>
              <w:t>Rbr.</w:t>
            </w:r>
          </w:p>
        </w:tc>
        <w:tc>
          <w:tcPr>
            <w:tcW w:w="5259" w:type="dxa"/>
          </w:tcPr>
          <w:p w14:paraId="293842A5" w14:textId="77777777" w:rsidR="00CA7247" w:rsidRPr="00E61C93" w:rsidRDefault="00CA7247" w:rsidP="00876643">
            <w:pPr>
              <w:pStyle w:val="box468252"/>
              <w:spacing w:before="0" w:beforeAutospacing="0" w:after="48" w:afterAutospacing="0"/>
              <w:textAlignment w:val="baseline"/>
              <w:rPr>
                <w:rFonts w:asciiTheme="minorHAnsi" w:hAnsiTheme="minorHAnsi" w:cstheme="minorHAnsi"/>
                <w:b/>
                <w:bCs/>
                <w:color w:val="231F20"/>
                <w:sz w:val="20"/>
                <w:szCs w:val="20"/>
              </w:rPr>
            </w:pPr>
            <w:r w:rsidRPr="00E61C93">
              <w:rPr>
                <w:rFonts w:asciiTheme="minorHAnsi" w:hAnsiTheme="minorHAnsi" w:cstheme="minorHAnsi"/>
                <w:b/>
                <w:bCs/>
                <w:color w:val="231F20"/>
                <w:sz w:val="20"/>
                <w:szCs w:val="20"/>
              </w:rPr>
              <w:t>Naziv</w:t>
            </w:r>
          </w:p>
        </w:tc>
        <w:tc>
          <w:tcPr>
            <w:tcW w:w="1134" w:type="dxa"/>
          </w:tcPr>
          <w:p w14:paraId="6E6183AA" w14:textId="77777777" w:rsidR="00CA7247" w:rsidRPr="00312419"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14"/>
                <w:szCs w:val="14"/>
              </w:rPr>
            </w:pPr>
            <w:r w:rsidRPr="00312419">
              <w:rPr>
                <w:rFonts w:asciiTheme="minorHAnsi" w:hAnsiTheme="minorHAnsi" w:cstheme="minorHAnsi"/>
                <w:b/>
                <w:bCs/>
                <w:color w:val="231F20"/>
                <w:sz w:val="14"/>
                <w:szCs w:val="14"/>
              </w:rPr>
              <w:t>Iznos</w:t>
            </w:r>
            <w:r>
              <w:rPr>
                <w:rFonts w:asciiTheme="minorHAnsi" w:hAnsiTheme="minorHAnsi" w:cstheme="minorHAnsi"/>
                <w:b/>
                <w:bCs/>
                <w:color w:val="231F20"/>
                <w:sz w:val="14"/>
                <w:szCs w:val="14"/>
              </w:rPr>
              <w:t xml:space="preserve"> </w:t>
            </w:r>
            <w:r w:rsidRPr="00312419">
              <w:rPr>
                <w:rFonts w:asciiTheme="minorHAnsi" w:hAnsiTheme="minorHAnsi" w:cstheme="minorHAnsi"/>
                <w:b/>
                <w:bCs/>
                <w:color w:val="231F20"/>
                <w:sz w:val="14"/>
                <w:szCs w:val="14"/>
              </w:rPr>
              <w:t>€</w:t>
            </w:r>
          </w:p>
        </w:tc>
        <w:tc>
          <w:tcPr>
            <w:tcW w:w="1134" w:type="dxa"/>
          </w:tcPr>
          <w:p w14:paraId="2E04F4CA" w14:textId="77777777" w:rsidR="00CA7247" w:rsidRPr="00312419"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14"/>
                <w:szCs w:val="14"/>
              </w:rPr>
            </w:pPr>
            <w:r w:rsidRPr="00312419">
              <w:rPr>
                <w:rFonts w:asciiTheme="minorHAnsi" w:hAnsiTheme="minorHAnsi" w:cstheme="minorHAnsi"/>
                <w:b/>
                <w:bCs/>
                <w:color w:val="231F20"/>
                <w:sz w:val="14"/>
                <w:szCs w:val="14"/>
              </w:rPr>
              <w:t>PDV</w:t>
            </w:r>
            <w:r>
              <w:rPr>
                <w:rFonts w:asciiTheme="minorHAnsi" w:hAnsiTheme="minorHAnsi" w:cstheme="minorHAnsi"/>
                <w:b/>
                <w:bCs/>
                <w:color w:val="231F20"/>
                <w:sz w:val="14"/>
                <w:szCs w:val="14"/>
              </w:rPr>
              <w:t xml:space="preserve"> </w:t>
            </w:r>
            <w:r w:rsidRPr="00312419">
              <w:rPr>
                <w:rFonts w:asciiTheme="minorHAnsi" w:hAnsiTheme="minorHAnsi" w:cstheme="minorHAnsi"/>
                <w:b/>
                <w:bCs/>
                <w:color w:val="231F20"/>
                <w:sz w:val="14"/>
                <w:szCs w:val="14"/>
              </w:rPr>
              <w:t>€</w:t>
            </w:r>
          </w:p>
        </w:tc>
        <w:tc>
          <w:tcPr>
            <w:tcW w:w="1276" w:type="dxa"/>
          </w:tcPr>
          <w:p w14:paraId="0F2FAFBE" w14:textId="77777777" w:rsidR="00CA7247" w:rsidRPr="00312419"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14"/>
                <w:szCs w:val="14"/>
              </w:rPr>
            </w:pPr>
            <w:r w:rsidRPr="00312419">
              <w:rPr>
                <w:rFonts w:asciiTheme="minorHAnsi" w:hAnsiTheme="minorHAnsi" w:cstheme="minorHAnsi"/>
                <w:b/>
                <w:bCs/>
                <w:color w:val="231F20"/>
                <w:sz w:val="14"/>
                <w:szCs w:val="14"/>
              </w:rPr>
              <w:t>Ukupno</w:t>
            </w:r>
            <w:r>
              <w:rPr>
                <w:rFonts w:asciiTheme="minorHAnsi" w:hAnsiTheme="minorHAnsi" w:cstheme="minorHAnsi"/>
                <w:b/>
                <w:bCs/>
                <w:color w:val="231F20"/>
                <w:sz w:val="14"/>
                <w:szCs w:val="14"/>
              </w:rPr>
              <w:t xml:space="preserve"> </w:t>
            </w:r>
            <w:r w:rsidRPr="00312419">
              <w:rPr>
                <w:rFonts w:asciiTheme="minorHAnsi" w:hAnsiTheme="minorHAnsi" w:cstheme="minorHAnsi"/>
                <w:b/>
                <w:bCs/>
                <w:color w:val="231F20"/>
                <w:sz w:val="14"/>
                <w:szCs w:val="14"/>
              </w:rPr>
              <w:t>€</w:t>
            </w:r>
          </w:p>
        </w:tc>
      </w:tr>
      <w:tr w:rsidR="00CA7247" w:rsidRPr="00971A29" w14:paraId="57AE2813" w14:textId="77777777" w:rsidTr="00C130CC">
        <w:tc>
          <w:tcPr>
            <w:tcW w:w="690" w:type="dxa"/>
          </w:tcPr>
          <w:p w14:paraId="4A795E0E" w14:textId="77777777" w:rsidR="00CA7247" w:rsidRPr="00971A29" w:rsidRDefault="00CA7247" w:rsidP="00876643">
            <w:pPr>
              <w:pStyle w:val="box468252"/>
              <w:spacing w:before="0" w:beforeAutospacing="0" w:after="48" w:afterAutospacing="0"/>
              <w:textAlignment w:val="baseline"/>
              <w:rPr>
                <w:rFonts w:asciiTheme="minorHAnsi" w:hAnsiTheme="minorHAnsi" w:cstheme="minorHAnsi"/>
                <w:b/>
                <w:bCs/>
                <w:color w:val="231F20"/>
                <w:sz w:val="20"/>
                <w:szCs w:val="20"/>
              </w:rPr>
            </w:pPr>
            <w:r w:rsidRPr="00971A29">
              <w:rPr>
                <w:rFonts w:asciiTheme="minorHAnsi" w:hAnsiTheme="minorHAnsi" w:cstheme="minorHAnsi"/>
                <w:b/>
                <w:bCs/>
                <w:color w:val="231F20"/>
                <w:sz w:val="20"/>
                <w:szCs w:val="20"/>
              </w:rPr>
              <w:t>1.</w:t>
            </w:r>
          </w:p>
        </w:tc>
        <w:tc>
          <w:tcPr>
            <w:tcW w:w="5259" w:type="dxa"/>
          </w:tcPr>
          <w:p w14:paraId="2D1A1EFF" w14:textId="77777777" w:rsidR="00CA7247" w:rsidRPr="002840C0" w:rsidRDefault="00CA7247" w:rsidP="00876643">
            <w:pPr>
              <w:pStyle w:val="box468252"/>
              <w:spacing w:before="0" w:beforeAutospacing="0" w:after="48" w:afterAutospacing="0"/>
              <w:textAlignment w:val="baseline"/>
              <w:rPr>
                <w:rFonts w:asciiTheme="minorHAnsi" w:hAnsiTheme="minorHAnsi" w:cstheme="minorHAnsi"/>
                <w:b/>
                <w:bCs/>
                <w:sz w:val="20"/>
                <w:szCs w:val="20"/>
              </w:rPr>
            </w:pPr>
            <w:r w:rsidRPr="002840C0">
              <w:rPr>
                <w:rFonts w:asciiTheme="minorHAnsi" w:hAnsiTheme="minorHAnsi" w:cstheme="minorHAnsi"/>
                <w:b/>
                <w:bCs/>
                <w:sz w:val="20"/>
                <w:szCs w:val="20"/>
              </w:rPr>
              <w:t xml:space="preserve">Cijena obavezne minimalne javne usluge </w:t>
            </w:r>
          </w:p>
        </w:tc>
        <w:tc>
          <w:tcPr>
            <w:tcW w:w="1134" w:type="dxa"/>
          </w:tcPr>
          <w:p w14:paraId="5E23E34B" w14:textId="2A858E6F" w:rsidR="00CA7247" w:rsidRPr="00680549" w:rsidRDefault="00C130CC" w:rsidP="00876643">
            <w:pPr>
              <w:pStyle w:val="box468252"/>
              <w:spacing w:before="0" w:beforeAutospacing="0" w:after="48" w:afterAutospacing="0"/>
              <w:jc w:val="center"/>
              <w:textAlignment w:val="baseline"/>
              <w:rPr>
                <w:rFonts w:asciiTheme="minorHAnsi" w:hAnsiTheme="minorHAnsi" w:cstheme="minorHAnsi"/>
                <w:b/>
                <w:bCs/>
                <w:color w:val="231F20"/>
                <w:sz w:val="20"/>
                <w:szCs w:val="20"/>
                <w:highlight w:val="yellow"/>
              </w:rPr>
            </w:pPr>
            <w:r>
              <w:rPr>
                <w:rFonts w:asciiTheme="minorHAnsi" w:hAnsiTheme="minorHAnsi" w:cstheme="minorHAnsi"/>
                <w:b/>
                <w:bCs/>
                <w:color w:val="231F20"/>
                <w:sz w:val="20"/>
                <w:szCs w:val="20"/>
              </w:rPr>
              <w:t>11,60</w:t>
            </w:r>
          </w:p>
        </w:tc>
        <w:tc>
          <w:tcPr>
            <w:tcW w:w="1134" w:type="dxa"/>
          </w:tcPr>
          <w:p w14:paraId="21D3991A" w14:textId="5D6FAC98" w:rsidR="00CA7247" w:rsidRPr="00680549" w:rsidRDefault="00C130CC" w:rsidP="009E4305">
            <w:pPr>
              <w:pStyle w:val="box468252"/>
              <w:spacing w:before="0" w:beforeAutospacing="0" w:after="48" w:afterAutospacing="0"/>
              <w:jc w:val="center"/>
              <w:textAlignment w:val="baseline"/>
              <w:rPr>
                <w:rFonts w:asciiTheme="minorHAnsi" w:hAnsiTheme="minorHAnsi" w:cstheme="minorHAnsi"/>
                <w:b/>
                <w:bCs/>
                <w:color w:val="231F20"/>
                <w:sz w:val="20"/>
                <w:szCs w:val="20"/>
                <w:highlight w:val="yellow"/>
              </w:rPr>
            </w:pPr>
            <w:r>
              <w:rPr>
                <w:rFonts w:asciiTheme="minorHAnsi" w:hAnsiTheme="minorHAnsi" w:cstheme="minorHAnsi"/>
                <w:b/>
                <w:bCs/>
                <w:color w:val="231F20"/>
                <w:sz w:val="20"/>
                <w:szCs w:val="20"/>
              </w:rPr>
              <w:t>1,51</w:t>
            </w:r>
          </w:p>
        </w:tc>
        <w:tc>
          <w:tcPr>
            <w:tcW w:w="1276" w:type="dxa"/>
          </w:tcPr>
          <w:p w14:paraId="4DA540A7" w14:textId="6FFB48D1" w:rsidR="00CA7247" w:rsidRPr="00680549" w:rsidRDefault="00C130CC" w:rsidP="00876643">
            <w:pPr>
              <w:pStyle w:val="box468252"/>
              <w:spacing w:before="0" w:beforeAutospacing="0" w:after="48" w:afterAutospacing="0"/>
              <w:jc w:val="center"/>
              <w:textAlignment w:val="baseline"/>
              <w:rPr>
                <w:rFonts w:asciiTheme="minorHAnsi" w:hAnsiTheme="minorHAnsi" w:cstheme="minorHAnsi"/>
                <w:b/>
                <w:bCs/>
                <w:color w:val="231F20"/>
                <w:sz w:val="20"/>
                <w:szCs w:val="20"/>
                <w:highlight w:val="yellow"/>
              </w:rPr>
            </w:pPr>
            <w:r>
              <w:rPr>
                <w:rFonts w:asciiTheme="minorHAnsi" w:hAnsiTheme="minorHAnsi" w:cstheme="minorHAnsi"/>
                <w:b/>
                <w:bCs/>
                <w:color w:val="231F20"/>
                <w:sz w:val="20"/>
                <w:szCs w:val="20"/>
              </w:rPr>
              <w:t>13,11</w:t>
            </w:r>
          </w:p>
        </w:tc>
      </w:tr>
      <w:tr w:rsidR="00CA7247" w:rsidRPr="00971A29" w14:paraId="40F7A48B" w14:textId="77777777" w:rsidTr="00C130CC">
        <w:tc>
          <w:tcPr>
            <w:tcW w:w="690" w:type="dxa"/>
          </w:tcPr>
          <w:p w14:paraId="4F443FD6" w14:textId="77777777" w:rsidR="00CA7247" w:rsidRPr="00971A29" w:rsidRDefault="00CA7247" w:rsidP="00876643">
            <w:pPr>
              <w:pStyle w:val="box468252"/>
              <w:spacing w:before="0" w:beforeAutospacing="0" w:after="48" w:afterAutospacing="0"/>
              <w:textAlignment w:val="baseline"/>
              <w:rPr>
                <w:rFonts w:asciiTheme="minorHAnsi" w:hAnsiTheme="minorHAnsi" w:cstheme="minorHAnsi"/>
                <w:b/>
                <w:bCs/>
                <w:color w:val="231F20"/>
                <w:sz w:val="20"/>
                <w:szCs w:val="20"/>
              </w:rPr>
            </w:pPr>
            <w:r>
              <w:rPr>
                <w:rFonts w:asciiTheme="minorHAnsi" w:hAnsiTheme="minorHAnsi" w:cstheme="minorHAnsi"/>
                <w:b/>
                <w:bCs/>
                <w:color w:val="231F20"/>
                <w:sz w:val="20"/>
                <w:szCs w:val="20"/>
              </w:rPr>
              <w:t>2.</w:t>
            </w:r>
          </w:p>
        </w:tc>
        <w:tc>
          <w:tcPr>
            <w:tcW w:w="5259" w:type="dxa"/>
          </w:tcPr>
          <w:p w14:paraId="0851D3E8" w14:textId="77777777" w:rsidR="00CA7247" w:rsidRPr="002840C0" w:rsidRDefault="00CA7247" w:rsidP="00876643">
            <w:pPr>
              <w:pStyle w:val="box468252"/>
              <w:spacing w:before="0" w:beforeAutospacing="0" w:after="48" w:afterAutospacing="0"/>
              <w:textAlignment w:val="baseline"/>
              <w:rPr>
                <w:rFonts w:asciiTheme="minorHAnsi" w:hAnsiTheme="minorHAnsi" w:cstheme="minorHAnsi"/>
                <w:b/>
                <w:bCs/>
                <w:sz w:val="20"/>
                <w:szCs w:val="20"/>
              </w:rPr>
            </w:pPr>
            <w:r>
              <w:rPr>
                <w:rFonts w:asciiTheme="minorHAnsi" w:hAnsiTheme="minorHAnsi" w:cstheme="minorHAnsi"/>
                <w:sz w:val="20"/>
                <w:szCs w:val="20"/>
              </w:rPr>
              <w:t xml:space="preserve">Cijena za 30 litara predanog miješanog komunalnog otpada - </w:t>
            </w:r>
          </w:p>
        </w:tc>
        <w:tc>
          <w:tcPr>
            <w:tcW w:w="1134" w:type="dxa"/>
          </w:tcPr>
          <w:p w14:paraId="463B129E" w14:textId="2A84D0BB" w:rsidR="00CA7247" w:rsidRPr="00971A29" w:rsidRDefault="002C576B"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Theme="minorHAnsi" w:hAnsiTheme="minorHAnsi" w:cstheme="minorHAnsi"/>
                <w:b/>
                <w:bCs/>
                <w:color w:val="231F20"/>
                <w:sz w:val="20"/>
                <w:szCs w:val="20"/>
              </w:rPr>
              <w:t>0,40</w:t>
            </w:r>
          </w:p>
        </w:tc>
        <w:tc>
          <w:tcPr>
            <w:tcW w:w="1134" w:type="dxa"/>
          </w:tcPr>
          <w:p w14:paraId="63461F19" w14:textId="704428B0" w:rsidR="00CA7247" w:rsidRPr="00971A29" w:rsidRDefault="002C576B"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Theme="minorHAnsi" w:hAnsiTheme="minorHAnsi" w:cstheme="minorHAnsi"/>
                <w:b/>
                <w:bCs/>
                <w:color w:val="231F20"/>
                <w:sz w:val="20"/>
                <w:szCs w:val="20"/>
              </w:rPr>
              <w:t>0,05</w:t>
            </w:r>
          </w:p>
        </w:tc>
        <w:tc>
          <w:tcPr>
            <w:tcW w:w="1276" w:type="dxa"/>
          </w:tcPr>
          <w:p w14:paraId="1423EAE9" w14:textId="4041C565" w:rsidR="00CA7247" w:rsidRPr="00971A29" w:rsidRDefault="002C576B"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Theme="minorHAnsi" w:hAnsiTheme="minorHAnsi" w:cstheme="minorHAnsi"/>
                <w:b/>
                <w:bCs/>
                <w:color w:val="231F20"/>
                <w:sz w:val="20"/>
                <w:szCs w:val="20"/>
              </w:rPr>
              <w:t>0,45</w:t>
            </w:r>
          </w:p>
        </w:tc>
      </w:tr>
      <w:tr w:rsidR="00CA7247" w:rsidRPr="00971A29" w14:paraId="77FE2462" w14:textId="77777777" w:rsidTr="00C130CC">
        <w:tc>
          <w:tcPr>
            <w:tcW w:w="690" w:type="dxa"/>
          </w:tcPr>
          <w:p w14:paraId="77702F4D" w14:textId="77777777" w:rsidR="00CA7247" w:rsidRPr="00971A29" w:rsidRDefault="00CA7247" w:rsidP="00876643">
            <w:pPr>
              <w:pStyle w:val="box468252"/>
              <w:spacing w:before="0" w:beforeAutospacing="0" w:after="48" w:afterAutospacing="0"/>
              <w:textAlignment w:val="baseline"/>
              <w:rPr>
                <w:rFonts w:asciiTheme="minorHAnsi" w:hAnsiTheme="minorHAnsi" w:cstheme="minorHAnsi"/>
                <w:b/>
                <w:bCs/>
                <w:color w:val="231F20"/>
                <w:sz w:val="20"/>
                <w:szCs w:val="20"/>
              </w:rPr>
            </w:pPr>
            <w:r>
              <w:rPr>
                <w:rFonts w:asciiTheme="minorHAnsi" w:hAnsiTheme="minorHAnsi" w:cstheme="minorHAnsi"/>
                <w:b/>
                <w:bCs/>
                <w:color w:val="231F20"/>
                <w:sz w:val="20"/>
                <w:szCs w:val="20"/>
              </w:rPr>
              <w:t>3</w:t>
            </w:r>
            <w:r w:rsidRPr="00971A29">
              <w:rPr>
                <w:rFonts w:asciiTheme="minorHAnsi" w:hAnsiTheme="minorHAnsi" w:cstheme="minorHAnsi"/>
                <w:b/>
                <w:bCs/>
                <w:color w:val="231F20"/>
                <w:sz w:val="20"/>
                <w:szCs w:val="20"/>
              </w:rPr>
              <w:t>.</w:t>
            </w:r>
          </w:p>
        </w:tc>
        <w:tc>
          <w:tcPr>
            <w:tcW w:w="5259" w:type="dxa"/>
          </w:tcPr>
          <w:p w14:paraId="25D38FC4" w14:textId="77777777" w:rsidR="00CA7247" w:rsidRPr="00971A29" w:rsidRDefault="00CA7247" w:rsidP="00876643">
            <w:pPr>
              <w:pStyle w:val="box468252"/>
              <w:shd w:val="clear" w:color="auto" w:fill="FFFFFF"/>
              <w:spacing w:before="0" w:beforeAutospacing="0" w:after="48" w:afterAutospacing="0"/>
              <w:textAlignment w:val="baseline"/>
              <w:rPr>
                <w:rFonts w:asciiTheme="minorHAnsi" w:hAnsiTheme="minorHAnsi" w:cstheme="minorHAnsi"/>
                <w:sz w:val="20"/>
                <w:szCs w:val="20"/>
              </w:rPr>
            </w:pPr>
            <w:r w:rsidRPr="00971A29">
              <w:rPr>
                <w:rFonts w:asciiTheme="minorHAnsi" w:hAnsiTheme="minorHAnsi" w:cstheme="minorHAnsi"/>
                <w:sz w:val="20"/>
                <w:szCs w:val="20"/>
              </w:rPr>
              <w:t xml:space="preserve">Cijena za </w:t>
            </w:r>
            <w:r>
              <w:rPr>
                <w:rFonts w:asciiTheme="minorHAnsi" w:hAnsiTheme="minorHAnsi" w:cstheme="minorHAnsi"/>
                <w:sz w:val="20"/>
                <w:szCs w:val="20"/>
              </w:rPr>
              <w:t>80</w:t>
            </w:r>
            <w:r w:rsidRPr="00971A29">
              <w:rPr>
                <w:rFonts w:asciiTheme="minorHAnsi" w:hAnsiTheme="minorHAnsi" w:cstheme="minorHAnsi"/>
                <w:sz w:val="20"/>
                <w:szCs w:val="20"/>
              </w:rPr>
              <w:t xml:space="preserve"> litara predanog miješanog komunalnog otpada </w:t>
            </w:r>
            <w:r>
              <w:rPr>
                <w:rFonts w:asciiTheme="minorHAnsi" w:hAnsiTheme="minorHAnsi" w:cstheme="minorHAnsi"/>
                <w:sz w:val="20"/>
                <w:szCs w:val="20"/>
              </w:rPr>
              <w:t>– jedna predaja</w:t>
            </w:r>
          </w:p>
        </w:tc>
        <w:tc>
          <w:tcPr>
            <w:tcW w:w="1134" w:type="dxa"/>
          </w:tcPr>
          <w:p w14:paraId="403F102B" w14:textId="77777777" w:rsidR="00CA7247" w:rsidRPr="00971A29"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Theme="minorHAnsi" w:hAnsiTheme="minorHAnsi" w:cstheme="minorHAnsi"/>
                <w:b/>
                <w:bCs/>
                <w:color w:val="231F20"/>
                <w:sz w:val="20"/>
                <w:szCs w:val="20"/>
              </w:rPr>
              <w:t>1,06</w:t>
            </w:r>
          </w:p>
        </w:tc>
        <w:tc>
          <w:tcPr>
            <w:tcW w:w="1134" w:type="dxa"/>
          </w:tcPr>
          <w:p w14:paraId="4E5C23C7" w14:textId="77777777" w:rsidR="00CA7247" w:rsidRPr="00971A29"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Theme="minorHAnsi" w:hAnsiTheme="minorHAnsi" w:cstheme="minorHAnsi"/>
                <w:b/>
                <w:bCs/>
                <w:color w:val="231F20"/>
                <w:sz w:val="20"/>
                <w:szCs w:val="20"/>
              </w:rPr>
              <w:t>0,14</w:t>
            </w:r>
          </w:p>
        </w:tc>
        <w:tc>
          <w:tcPr>
            <w:tcW w:w="1276" w:type="dxa"/>
          </w:tcPr>
          <w:p w14:paraId="3FD5612F" w14:textId="77777777" w:rsidR="00CA7247" w:rsidRPr="00971A29"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Theme="minorHAnsi" w:hAnsiTheme="minorHAnsi" w:cstheme="minorHAnsi"/>
                <w:b/>
                <w:bCs/>
                <w:color w:val="231F20"/>
                <w:sz w:val="20"/>
                <w:szCs w:val="20"/>
              </w:rPr>
              <w:t>1,20</w:t>
            </w:r>
          </w:p>
        </w:tc>
      </w:tr>
    </w:tbl>
    <w:p w14:paraId="6BC6BB69" w14:textId="77777777" w:rsidR="00CA7247" w:rsidRDefault="00CA7247" w:rsidP="00CA7247">
      <w:pPr>
        <w:pStyle w:val="box468252"/>
        <w:shd w:val="clear" w:color="auto" w:fill="FFFFFF"/>
        <w:spacing w:before="0" w:beforeAutospacing="0" w:after="48" w:afterAutospacing="0"/>
        <w:textAlignment w:val="baseline"/>
        <w:rPr>
          <w:rFonts w:asciiTheme="minorHAnsi" w:hAnsiTheme="minorHAnsi" w:cstheme="minorHAnsi"/>
          <w:sz w:val="20"/>
          <w:szCs w:val="20"/>
        </w:rPr>
      </w:pPr>
    </w:p>
    <w:p w14:paraId="42109611" w14:textId="77777777" w:rsidR="00CA7247" w:rsidRPr="00B72502" w:rsidRDefault="00CA7247" w:rsidP="00CA7247">
      <w:pPr>
        <w:pStyle w:val="box468252"/>
        <w:shd w:val="clear" w:color="auto" w:fill="FFFFFF"/>
        <w:spacing w:before="0" w:beforeAutospacing="0" w:after="48" w:afterAutospacing="0"/>
        <w:textAlignment w:val="baseline"/>
        <w:rPr>
          <w:rFonts w:asciiTheme="minorHAnsi" w:hAnsiTheme="minorHAnsi" w:cstheme="minorHAnsi"/>
          <w:b/>
          <w:bCs/>
          <w:color w:val="231F20"/>
          <w:sz w:val="22"/>
          <w:szCs w:val="22"/>
        </w:rPr>
      </w:pPr>
    </w:p>
    <w:p w14:paraId="1159EBCF" w14:textId="77777777" w:rsidR="00CA7247" w:rsidRDefault="00CA7247" w:rsidP="00CA7247">
      <w:pPr>
        <w:pStyle w:val="Naslov2"/>
      </w:pPr>
      <w:bookmarkStart w:id="2" w:name="_Toc183423643"/>
      <w:r w:rsidRPr="00562CCE">
        <w:t>Korisnici kategorija koji nije kućanstvo</w:t>
      </w:r>
      <w:bookmarkEnd w:id="2"/>
    </w:p>
    <w:tbl>
      <w:tblPr>
        <w:tblStyle w:val="Reetkatablice"/>
        <w:tblW w:w="9634" w:type="dxa"/>
        <w:tblLook w:val="04A0" w:firstRow="1" w:lastRow="0" w:firstColumn="1" w:lastColumn="0" w:noHBand="0" w:noVBand="1"/>
      </w:tblPr>
      <w:tblGrid>
        <w:gridCol w:w="690"/>
        <w:gridCol w:w="5259"/>
        <w:gridCol w:w="1276"/>
        <w:gridCol w:w="1134"/>
        <w:gridCol w:w="1275"/>
      </w:tblGrid>
      <w:tr w:rsidR="00CA7247" w:rsidRPr="00E61C93" w14:paraId="0D5F9CB4" w14:textId="77777777" w:rsidTr="00C130CC">
        <w:tc>
          <w:tcPr>
            <w:tcW w:w="690" w:type="dxa"/>
          </w:tcPr>
          <w:p w14:paraId="41B831AD" w14:textId="77777777" w:rsidR="00CA7247" w:rsidRPr="00E61C93" w:rsidRDefault="00CA7247" w:rsidP="00876643">
            <w:pPr>
              <w:pStyle w:val="box468252"/>
              <w:spacing w:before="0" w:beforeAutospacing="0" w:after="48" w:afterAutospacing="0"/>
              <w:textAlignment w:val="baseline"/>
              <w:rPr>
                <w:rFonts w:asciiTheme="minorHAnsi" w:hAnsiTheme="minorHAnsi" w:cstheme="minorHAnsi"/>
                <w:b/>
                <w:bCs/>
                <w:color w:val="231F20"/>
                <w:sz w:val="20"/>
                <w:szCs w:val="20"/>
              </w:rPr>
            </w:pPr>
            <w:r w:rsidRPr="00E61C93">
              <w:rPr>
                <w:rFonts w:asciiTheme="minorHAnsi" w:hAnsiTheme="minorHAnsi" w:cstheme="minorHAnsi"/>
                <w:b/>
                <w:bCs/>
                <w:color w:val="231F20"/>
                <w:sz w:val="20"/>
                <w:szCs w:val="20"/>
              </w:rPr>
              <w:t>Rbr.</w:t>
            </w:r>
          </w:p>
        </w:tc>
        <w:tc>
          <w:tcPr>
            <w:tcW w:w="5259" w:type="dxa"/>
          </w:tcPr>
          <w:p w14:paraId="52568CA5" w14:textId="77777777" w:rsidR="00CA7247" w:rsidRPr="00E61C93" w:rsidRDefault="00CA7247" w:rsidP="00876643">
            <w:pPr>
              <w:pStyle w:val="box468252"/>
              <w:spacing w:before="0" w:beforeAutospacing="0" w:after="48" w:afterAutospacing="0"/>
              <w:textAlignment w:val="baseline"/>
              <w:rPr>
                <w:rFonts w:asciiTheme="minorHAnsi" w:hAnsiTheme="minorHAnsi" w:cstheme="minorHAnsi"/>
                <w:b/>
                <w:bCs/>
                <w:color w:val="231F20"/>
                <w:sz w:val="20"/>
                <w:szCs w:val="20"/>
              </w:rPr>
            </w:pPr>
            <w:r w:rsidRPr="00E61C93">
              <w:rPr>
                <w:rFonts w:asciiTheme="minorHAnsi" w:hAnsiTheme="minorHAnsi" w:cstheme="minorHAnsi"/>
                <w:b/>
                <w:bCs/>
                <w:color w:val="231F20"/>
                <w:sz w:val="20"/>
                <w:szCs w:val="20"/>
              </w:rPr>
              <w:t>Naziv</w:t>
            </w:r>
          </w:p>
        </w:tc>
        <w:tc>
          <w:tcPr>
            <w:tcW w:w="1276" w:type="dxa"/>
          </w:tcPr>
          <w:p w14:paraId="5D5E64C4" w14:textId="77777777" w:rsidR="00CA7247" w:rsidRPr="00E61C93"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Theme="minorHAnsi" w:hAnsiTheme="minorHAnsi" w:cstheme="minorHAnsi"/>
                <w:b/>
                <w:bCs/>
                <w:color w:val="231F20"/>
                <w:sz w:val="14"/>
                <w:szCs w:val="14"/>
              </w:rPr>
              <w:t xml:space="preserve">Iznos </w:t>
            </w:r>
            <w:r w:rsidRPr="00312419">
              <w:rPr>
                <w:rFonts w:asciiTheme="minorHAnsi" w:hAnsiTheme="minorHAnsi" w:cstheme="minorHAnsi"/>
                <w:b/>
                <w:bCs/>
                <w:color w:val="231F20"/>
                <w:sz w:val="14"/>
                <w:szCs w:val="14"/>
              </w:rPr>
              <w:t>€</w:t>
            </w:r>
          </w:p>
        </w:tc>
        <w:tc>
          <w:tcPr>
            <w:tcW w:w="1134" w:type="dxa"/>
          </w:tcPr>
          <w:p w14:paraId="094C9058" w14:textId="77777777" w:rsidR="00CA7247" w:rsidRPr="00E61C93"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Theme="minorHAnsi" w:hAnsiTheme="minorHAnsi" w:cstheme="minorHAnsi"/>
                <w:b/>
                <w:bCs/>
                <w:color w:val="231F20"/>
                <w:sz w:val="14"/>
                <w:szCs w:val="14"/>
              </w:rPr>
              <w:t xml:space="preserve">PDV </w:t>
            </w:r>
            <w:r w:rsidRPr="00312419">
              <w:rPr>
                <w:rFonts w:asciiTheme="minorHAnsi" w:hAnsiTheme="minorHAnsi" w:cstheme="minorHAnsi"/>
                <w:b/>
                <w:bCs/>
                <w:color w:val="231F20"/>
                <w:sz w:val="14"/>
                <w:szCs w:val="14"/>
              </w:rPr>
              <w:t>€</w:t>
            </w:r>
          </w:p>
        </w:tc>
        <w:tc>
          <w:tcPr>
            <w:tcW w:w="1275" w:type="dxa"/>
          </w:tcPr>
          <w:p w14:paraId="594A2AFA" w14:textId="77777777" w:rsidR="00CA7247" w:rsidRPr="00E61C93"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Theme="minorHAnsi" w:hAnsiTheme="minorHAnsi" w:cstheme="minorHAnsi"/>
                <w:b/>
                <w:bCs/>
                <w:color w:val="231F20"/>
                <w:sz w:val="14"/>
                <w:szCs w:val="14"/>
              </w:rPr>
              <w:t xml:space="preserve">Ukupno </w:t>
            </w:r>
            <w:r w:rsidRPr="00312419">
              <w:rPr>
                <w:rFonts w:asciiTheme="minorHAnsi" w:hAnsiTheme="minorHAnsi" w:cstheme="minorHAnsi"/>
                <w:b/>
                <w:bCs/>
                <w:color w:val="231F20"/>
                <w:sz w:val="14"/>
                <w:szCs w:val="14"/>
              </w:rPr>
              <w:t>€</w:t>
            </w:r>
          </w:p>
        </w:tc>
      </w:tr>
      <w:tr w:rsidR="00CA7247" w:rsidRPr="00E61C93" w14:paraId="6BFB3F72" w14:textId="77777777" w:rsidTr="00C130CC">
        <w:tc>
          <w:tcPr>
            <w:tcW w:w="690" w:type="dxa"/>
          </w:tcPr>
          <w:p w14:paraId="280B5DBD" w14:textId="77777777" w:rsidR="00CA7247" w:rsidRPr="00E61C93" w:rsidRDefault="00CA7247" w:rsidP="00876643">
            <w:pPr>
              <w:pStyle w:val="box468252"/>
              <w:spacing w:before="0" w:beforeAutospacing="0" w:after="48" w:afterAutospacing="0"/>
              <w:textAlignment w:val="baseline"/>
              <w:rPr>
                <w:rFonts w:asciiTheme="minorHAnsi" w:hAnsiTheme="minorHAnsi" w:cstheme="minorHAnsi"/>
                <w:b/>
                <w:bCs/>
                <w:color w:val="231F20"/>
                <w:sz w:val="20"/>
                <w:szCs w:val="20"/>
              </w:rPr>
            </w:pPr>
            <w:r w:rsidRPr="00E61C93">
              <w:rPr>
                <w:rFonts w:asciiTheme="minorHAnsi" w:hAnsiTheme="minorHAnsi" w:cstheme="minorHAnsi"/>
                <w:b/>
                <w:bCs/>
                <w:color w:val="231F20"/>
                <w:sz w:val="20"/>
                <w:szCs w:val="20"/>
              </w:rPr>
              <w:t>1.</w:t>
            </w:r>
          </w:p>
        </w:tc>
        <w:tc>
          <w:tcPr>
            <w:tcW w:w="5259" w:type="dxa"/>
          </w:tcPr>
          <w:p w14:paraId="5717E5EA" w14:textId="77777777" w:rsidR="00CA7247" w:rsidRPr="00E61C93" w:rsidRDefault="00CA7247" w:rsidP="00876643">
            <w:pPr>
              <w:pStyle w:val="box468252"/>
              <w:spacing w:before="0" w:beforeAutospacing="0" w:after="48" w:afterAutospacing="0"/>
              <w:textAlignment w:val="baseline"/>
              <w:rPr>
                <w:rFonts w:asciiTheme="minorHAnsi" w:hAnsiTheme="minorHAnsi" w:cstheme="minorHAnsi"/>
                <w:sz w:val="20"/>
                <w:szCs w:val="20"/>
              </w:rPr>
            </w:pPr>
            <w:r w:rsidRPr="00E61C93">
              <w:rPr>
                <w:rFonts w:asciiTheme="minorHAnsi" w:hAnsiTheme="minorHAnsi" w:cstheme="minorHAnsi"/>
                <w:sz w:val="20"/>
                <w:szCs w:val="20"/>
              </w:rPr>
              <w:t xml:space="preserve">Cijena obavezne minimalne javne usluge </w:t>
            </w:r>
          </w:p>
        </w:tc>
        <w:tc>
          <w:tcPr>
            <w:tcW w:w="1276" w:type="dxa"/>
          </w:tcPr>
          <w:p w14:paraId="4ADC1C12" w14:textId="3CD9EA48" w:rsidR="00CA7247" w:rsidRPr="00C130CC" w:rsidRDefault="00C130CC" w:rsidP="00876643">
            <w:pPr>
              <w:pStyle w:val="box468252"/>
              <w:spacing w:before="0" w:beforeAutospacing="0" w:after="48" w:afterAutospacing="0"/>
              <w:jc w:val="center"/>
              <w:textAlignment w:val="baseline"/>
              <w:rPr>
                <w:rFonts w:asciiTheme="minorHAnsi" w:hAnsiTheme="minorHAnsi" w:cstheme="minorHAnsi"/>
                <w:b/>
                <w:bCs/>
                <w:color w:val="231F20"/>
                <w:sz w:val="20"/>
                <w:szCs w:val="20"/>
                <w:highlight w:val="yellow"/>
              </w:rPr>
            </w:pPr>
            <w:r w:rsidRPr="00C130CC">
              <w:rPr>
                <w:rFonts w:asciiTheme="minorHAnsi" w:hAnsiTheme="minorHAnsi" w:cstheme="minorHAnsi"/>
                <w:b/>
                <w:bCs/>
                <w:color w:val="231F20"/>
                <w:sz w:val="20"/>
                <w:szCs w:val="20"/>
              </w:rPr>
              <w:t>16,56</w:t>
            </w:r>
          </w:p>
        </w:tc>
        <w:tc>
          <w:tcPr>
            <w:tcW w:w="1134" w:type="dxa"/>
          </w:tcPr>
          <w:p w14:paraId="792DC51D" w14:textId="1797E8EE" w:rsidR="00CA7247" w:rsidRPr="00C130CC" w:rsidRDefault="00C130CC" w:rsidP="009E4305">
            <w:pPr>
              <w:pStyle w:val="box468252"/>
              <w:spacing w:before="0" w:beforeAutospacing="0" w:after="48" w:afterAutospacing="0"/>
              <w:jc w:val="center"/>
              <w:textAlignment w:val="baseline"/>
              <w:rPr>
                <w:rFonts w:asciiTheme="minorHAnsi" w:hAnsiTheme="minorHAnsi" w:cstheme="minorHAnsi"/>
                <w:b/>
                <w:bCs/>
                <w:color w:val="231F20"/>
                <w:sz w:val="20"/>
                <w:szCs w:val="20"/>
                <w:highlight w:val="yellow"/>
              </w:rPr>
            </w:pPr>
            <w:r w:rsidRPr="00C130CC">
              <w:rPr>
                <w:rFonts w:asciiTheme="minorHAnsi" w:hAnsiTheme="minorHAnsi" w:cstheme="minorHAnsi"/>
                <w:b/>
                <w:bCs/>
                <w:color w:val="231F20"/>
                <w:sz w:val="20"/>
                <w:szCs w:val="20"/>
              </w:rPr>
              <w:t>2,15</w:t>
            </w:r>
          </w:p>
        </w:tc>
        <w:tc>
          <w:tcPr>
            <w:tcW w:w="1275" w:type="dxa"/>
          </w:tcPr>
          <w:p w14:paraId="6BEFDCEC" w14:textId="7FEFB556" w:rsidR="00CA7247" w:rsidRPr="00C130CC" w:rsidRDefault="00C130CC" w:rsidP="00876643">
            <w:pPr>
              <w:pStyle w:val="box468252"/>
              <w:spacing w:before="0" w:beforeAutospacing="0" w:after="48" w:afterAutospacing="0"/>
              <w:jc w:val="center"/>
              <w:textAlignment w:val="baseline"/>
              <w:rPr>
                <w:rFonts w:asciiTheme="minorHAnsi" w:hAnsiTheme="minorHAnsi" w:cstheme="minorHAnsi"/>
                <w:b/>
                <w:bCs/>
                <w:color w:val="231F20"/>
                <w:sz w:val="20"/>
                <w:szCs w:val="20"/>
                <w:highlight w:val="yellow"/>
              </w:rPr>
            </w:pPr>
            <w:r>
              <w:rPr>
                <w:rFonts w:asciiTheme="minorHAnsi" w:hAnsiTheme="minorHAnsi" w:cstheme="minorHAnsi"/>
                <w:b/>
                <w:bCs/>
                <w:color w:val="231F20"/>
                <w:sz w:val="20"/>
                <w:szCs w:val="20"/>
              </w:rPr>
              <w:t>18,71</w:t>
            </w:r>
          </w:p>
        </w:tc>
      </w:tr>
      <w:tr w:rsidR="00CA7247" w:rsidRPr="00E61C93" w14:paraId="0CCE4557" w14:textId="77777777" w:rsidTr="00C130CC">
        <w:tc>
          <w:tcPr>
            <w:tcW w:w="690" w:type="dxa"/>
          </w:tcPr>
          <w:p w14:paraId="20BDE00B" w14:textId="77777777" w:rsidR="00CA7247" w:rsidRPr="00E61C93" w:rsidRDefault="00CA7247" w:rsidP="00876643">
            <w:pPr>
              <w:pStyle w:val="box468252"/>
              <w:spacing w:before="0" w:beforeAutospacing="0" w:after="48" w:afterAutospacing="0"/>
              <w:textAlignment w:val="baseline"/>
              <w:rPr>
                <w:rFonts w:asciiTheme="minorHAnsi" w:hAnsiTheme="minorHAnsi" w:cstheme="minorHAnsi"/>
                <w:b/>
                <w:bCs/>
                <w:color w:val="231F20"/>
                <w:sz w:val="20"/>
                <w:szCs w:val="20"/>
              </w:rPr>
            </w:pPr>
            <w:r>
              <w:rPr>
                <w:rFonts w:asciiTheme="minorHAnsi" w:hAnsiTheme="minorHAnsi" w:cstheme="minorHAnsi"/>
                <w:b/>
                <w:bCs/>
                <w:color w:val="231F20"/>
                <w:sz w:val="20"/>
                <w:szCs w:val="20"/>
              </w:rPr>
              <w:t>2</w:t>
            </w:r>
          </w:p>
        </w:tc>
        <w:tc>
          <w:tcPr>
            <w:tcW w:w="5259" w:type="dxa"/>
          </w:tcPr>
          <w:p w14:paraId="2F48C191" w14:textId="77777777" w:rsidR="00CA7247" w:rsidRPr="00E61C93" w:rsidRDefault="00CA7247" w:rsidP="00876643">
            <w:pPr>
              <w:pStyle w:val="box468252"/>
              <w:spacing w:before="0" w:beforeAutospacing="0" w:after="48"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Cijena za 30 litara predanog miješanog komunalnog otpada - </w:t>
            </w:r>
          </w:p>
        </w:tc>
        <w:tc>
          <w:tcPr>
            <w:tcW w:w="1276" w:type="dxa"/>
            <w:vAlign w:val="bottom"/>
          </w:tcPr>
          <w:p w14:paraId="15369AAA" w14:textId="63A58840" w:rsidR="00CA7247" w:rsidRPr="00C130CC" w:rsidRDefault="002C576B"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Calibri" w:hAnsi="Calibri" w:cs="Calibri"/>
                <w:b/>
                <w:bCs/>
                <w:color w:val="000000"/>
                <w:sz w:val="22"/>
                <w:szCs w:val="22"/>
              </w:rPr>
              <w:t>1,20</w:t>
            </w:r>
          </w:p>
        </w:tc>
        <w:tc>
          <w:tcPr>
            <w:tcW w:w="1134" w:type="dxa"/>
            <w:vAlign w:val="bottom"/>
          </w:tcPr>
          <w:p w14:paraId="6AD82E11" w14:textId="5276478E" w:rsidR="00CA7247" w:rsidRPr="00C130CC" w:rsidRDefault="002C576B"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Calibri" w:hAnsi="Calibri" w:cs="Calibri"/>
                <w:b/>
                <w:bCs/>
                <w:color w:val="000000"/>
                <w:sz w:val="22"/>
                <w:szCs w:val="22"/>
              </w:rPr>
              <w:t>0,16</w:t>
            </w:r>
          </w:p>
        </w:tc>
        <w:tc>
          <w:tcPr>
            <w:tcW w:w="1275" w:type="dxa"/>
            <w:vAlign w:val="bottom"/>
          </w:tcPr>
          <w:p w14:paraId="026C38DE" w14:textId="47CA2D5E" w:rsidR="00CA7247" w:rsidRPr="00C130CC" w:rsidRDefault="002C576B"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Pr>
                <w:rFonts w:ascii="Calibri" w:hAnsi="Calibri" w:cs="Calibri"/>
                <w:b/>
                <w:bCs/>
                <w:color w:val="000000"/>
                <w:sz w:val="22"/>
                <w:szCs w:val="22"/>
              </w:rPr>
              <w:t>1,36</w:t>
            </w:r>
          </w:p>
        </w:tc>
      </w:tr>
      <w:tr w:rsidR="00CA7247" w:rsidRPr="00E61C93" w14:paraId="12DE1228" w14:textId="77777777" w:rsidTr="00C130CC">
        <w:tc>
          <w:tcPr>
            <w:tcW w:w="690" w:type="dxa"/>
          </w:tcPr>
          <w:p w14:paraId="6046BFEC" w14:textId="77777777" w:rsidR="00CA7247" w:rsidRPr="00E61C93" w:rsidRDefault="00CA7247" w:rsidP="00876643">
            <w:pPr>
              <w:pStyle w:val="box468252"/>
              <w:spacing w:before="0" w:beforeAutospacing="0" w:after="48" w:afterAutospacing="0"/>
              <w:textAlignment w:val="baseline"/>
              <w:rPr>
                <w:rFonts w:asciiTheme="minorHAnsi" w:hAnsiTheme="minorHAnsi" w:cstheme="minorHAnsi"/>
                <w:b/>
                <w:bCs/>
                <w:color w:val="231F20"/>
                <w:sz w:val="20"/>
                <w:szCs w:val="20"/>
              </w:rPr>
            </w:pPr>
          </w:p>
        </w:tc>
        <w:tc>
          <w:tcPr>
            <w:tcW w:w="5259" w:type="dxa"/>
          </w:tcPr>
          <w:p w14:paraId="153D9CBD" w14:textId="77777777" w:rsidR="00CA7247" w:rsidRPr="00E61C93" w:rsidRDefault="00CA7247" w:rsidP="00876643">
            <w:pPr>
              <w:pStyle w:val="box468252"/>
              <w:spacing w:before="0" w:beforeAutospacing="0" w:after="48" w:afterAutospacing="0"/>
              <w:textAlignment w:val="baseline"/>
              <w:rPr>
                <w:rFonts w:asciiTheme="minorHAnsi" w:hAnsiTheme="minorHAnsi" w:cstheme="minorHAnsi"/>
                <w:sz w:val="20"/>
                <w:szCs w:val="20"/>
              </w:rPr>
            </w:pPr>
            <w:r w:rsidRPr="00971A29">
              <w:rPr>
                <w:rFonts w:asciiTheme="minorHAnsi" w:hAnsiTheme="minorHAnsi" w:cstheme="minorHAnsi"/>
                <w:sz w:val="20"/>
                <w:szCs w:val="20"/>
              </w:rPr>
              <w:t xml:space="preserve">Cijena za </w:t>
            </w:r>
            <w:r>
              <w:rPr>
                <w:rFonts w:asciiTheme="minorHAnsi" w:hAnsiTheme="minorHAnsi" w:cstheme="minorHAnsi"/>
                <w:sz w:val="20"/>
                <w:szCs w:val="20"/>
              </w:rPr>
              <w:t>80</w:t>
            </w:r>
            <w:r w:rsidRPr="00971A29">
              <w:rPr>
                <w:rFonts w:asciiTheme="minorHAnsi" w:hAnsiTheme="minorHAnsi" w:cstheme="minorHAnsi"/>
                <w:sz w:val="20"/>
                <w:szCs w:val="20"/>
              </w:rPr>
              <w:t xml:space="preserve"> litara predanog miješanog komunalnog otpada </w:t>
            </w:r>
            <w:r>
              <w:rPr>
                <w:rFonts w:asciiTheme="minorHAnsi" w:hAnsiTheme="minorHAnsi" w:cstheme="minorHAnsi"/>
                <w:sz w:val="20"/>
                <w:szCs w:val="20"/>
              </w:rPr>
              <w:t>– jedna predaja</w:t>
            </w:r>
          </w:p>
        </w:tc>
        <w:tc>
          <w:tcPr>
            <w:tcW w:w="1276" w:type="dxa"/>
            <w:vAlign w:val="bottom"/>
          </w:tcPr>
          <w:p w14:paraId="77B2CB4F" w14:textId="77777777" w:rsidR="00CA7247" w:rsidRPr="00C130CC"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sidRPr="00C130CC">
              <w:rPr>
                <w:rFonts w:ascii="Calibri" w:hAnsi="Calibri" w:cs="Calibri"/>
                <w:b/>
                <w:bCs/>
                <w:color w:val="000000"/>
                <w:sz w:val="22"/>
                <w:szCs w:val="22"/>
              </w:rPr>
              <w:t>3,19</w:t>
            </w:r>
          </w:p>
        </w:tc>
        <w:tc>
          <w:tcPr>
            <w:tcW w:w="1134" w:type="dxa"/>
            <w:vAlign w:val="bottom"/>
          </w:tcPr>
          <w:p w14:paraId="212E8EEF" w14:textId="77777777" w:rsidR="00CA7247" w:rsidRPr="00C130CC"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sidRPr="00C130CC">
              <w:rPr>
                <w:rFonts w:ascii="Calibri" w:hAnsi="Calibri" w:cs="Calibri"/>
                <w:b/>
                <w:bCs/>
                <w:color w:val="000000"/>
                <w:sz w:val="22"/>
                <w:szCs w:val="22"/>
              </w:rPr>
              <w:t>0,41</w:t>
            </w:r>
          </w:p>
        </w:tc>
        <w:tc>
          <w:tcPr>
            <w:tcW w:w="1275" w:type="dxa"/>
            <w:vAlign w:val="bottom"/>
          </w:tcPr>
          <w:p w14:paraId="122E3CC5" w14:textId="77777777" w:rsidR="00CA7247" w:rsidRPr="00C130CC" w:rsidRDefault="00CA7247" w:rsidP="00876643">
            <w:pPr>
              <w:pStyle w:val="box468252"/>
              <w:spacing w:before="0" w:beforeAutospacing="0" w:after="48" w:afterAutospacing="0"/>
              <w:jc w:val="center"/>
              <w:textAlignment w:val="baseline"/>
              <w:rPr>
                <w:rFonts w:asciiTheme="minorHAnsi" w:hAnsiTheme="minorHAnsi" w:cstheme="minorHAnsi"/>
                <w:b/>
                <w:bCs/>
                <w:color w:val="231F20"/>
                <w:sz w:val="20"/>
                <w:szCs w:val="20"/>
              </w:rPr>
            </w:pPr>
            <w:r w:rsidRPr="00C130CC">
              <w:rPr>
                <w:rFonts w:ascii="Calibri" w:hAnsi="Calibri" w:cs="Calibri"/>
                <w:b/>
                <w:bCs/>
                <w:color w:val="000000"/>
                <w:sz w:val="22"/>
                <w:szCs w:val="22"/>
              </w:rPr>
              <w:t>3,60</w:t>
            </w:r>
          </w:p>
        </w:tc>
      </w:tr>
    </w:tbl>
    <w:p w14:paraId="3B98295D" w14:textId="77777777" w:rsidR="00CA7247" w:rsidRDefault="00CA7247" w:rsidP="00CA7247"/>
    <w:p w14:paraId="76EF18E7" w14:textId="77777777" w:rsidR="001747AD" w:rsidRDefault="001747AD" w:rsidP="00110706">
      <w:pPr>
        <w:jc w:val="center"/>
      </w:pPr>
    </w:p>
    <w:p w14:paraId="4C98E273" w14:textId="77777777" w:rsidR="00CA7247" w:rsidRPr="00562CCE" w:rsidRDefault="00CA7247" w:rsidP="00CA7247">
      <w:pPr>
        <w:pStyle w:val="Naslov1"/>
      </w:pPr>
      <w:bookmarkStart w:id="3" w:name="_Toc183423644"/>
      <w:r>
        <w:t>P</w:t>
      </w:r>
      <w:r w:rsidRPr="00E61497">
        <w:t>rijedlog cjenika s obrazloženjem iznosa cijene i izmjene cijene</w:t>
      </w:r>
      <w:bookmarkEnd w:id="3"/>
    </w:p>
    <w:p w14:paraId="20343AEF" w14:textId="77777777" w:rsidR="00CA7247" w:rsidRDefault="00CA7247" w:rsidP="00CA7247">
      <w:pPr>
        <w:pStyle w:val="Naslov2"/>
      </w:pPr>
      <w:bookmarkStart w:id="4" w:name="_Toc183423645"/>
      <w:r w:rsidRPr="00562CCE">
        <w:t>Pravni okvir</w:t>
      </w:r>
      <w:bookmarkEnd w:id="4"/>
    </w:p>
    <w:p w14:paraId="0EC59E8C" w14:textId="77777777" w:rsidR="00CA7247" w:rsidRDefault="00CA7247" w:rsidP="00CA7247"/>
    <w:p w14:paraId="4E600B6B" w14:textId="6CBE277E" w:rsidR="00CA7247" w:rsidRPr="00082180" w:rsidRDefault="00CA7247" w:rsidP="00CA7247">
      <w:pPr>
        <w:jc w:val="both"/>
      </w:pPr>
      <w:r w:rsidRPr="00082180">
        <w:t xml:space="preserve">Na temelju članka 77. stavak 1. Zakon o gospodarenju otpadom (NN, broj: 84/2021 - u daljnjem tekstu: Zakon)  trgovačko društvo </w:t>
      </w:r>
      <w:r>
        <w:t>Komunalno Hvar</w:t>
      </w:r>
      <w:r w:rsidRPr="00082180">
        <w:t xml:space="preserve"> d.o.o., koje temeljem Odluke o dodjeli obavljanja javne usluge prikupljanja miješanog komunalnog otpada i biorazgradivog komunalnog otpada  te usluga povezanih s javnom uslugom na području </w:t>
      </w:r>
      <w:r>
        <w:t>Grada Hvara</w:t>
      </w:r>
      <w:r w:rsidRPr="00082180">
        <w:t xml:space="preserve">, </w:t>
      </w:r>
      <w:r w:rsidRPr="005879F6">
        <w:t xml:space="preserve">Klasa. 363-01/22-01/16, URBROJ:2181-2/01-02-22-04 </w:t>
      </w:r>
      <w:r w:rsidRPr="00082180">
        <w:t xml:space="preserve"> i Odluke</w:t>
      </w:r>
      <w:r w:rsidR="00791B2B">
        <w:t xml:space="preserve"> o izmjenama i dopunama odluke </w:t>
      </w:r>
      <w:r w:rsidRPr="00082180">
        <w:t xml:space="preserve">o načinu pružanja javne usluge sakupljanja komunalnog otpada na području Grada </w:t>
      </w:r>
      <w:r>
        <w:t xml:space="preserve">Hvara </w:t>
      </w:r>
      <w:r w:rsidRPr="00082180">
        <w:t>, KLASA:</w:t>
      </w:r>
      <w:r>
        <w:t xml:space="preserve"> </w:t>
      </w:r>
      <w:r w:rsidR="00BD7BFF">
        <w:t>024-04/24-02/04</w:t>
      </w:r>
      <w:r>
        <w:t>,</w:t>
      </w:r>
      <w:r w:rsidRPr="00082180">
        <w:t xml:space="preserve"> URBROJ:</w:t>
      </w:r>
      <w:r>
        <w:t xml:space="preserve"> </w:t>
      </w:r>
      <w:r w:rsidR="00BD7BFF">
        <w:t>2181-2-02-26-05</w:t>
      </w:r>
      <w:r w:rsidRPr="00082180">
        <w:t xml:space="preserve"> (Službeni glasnik Grada </w:t>
      </w:r>
      <w:r>
        <w:t>Hvara br.</w:t>
      </w:r>
      <w:r w:rsidR="00BD7BFF">
        <w:t xml:space="preserve"> 6/2026</w:t>
      </w:r>
      <w:r w:rsidRPr="00082180">
        <w:t xml:space="preserve">) obavlja javnu uslugu sakupljanja komunalnog otpada na području Grada </w:t>
      </w:r>
      <w:r>
        <w:t xml:space="preserve">Hvara </w:t>
      </w:r>
      <w:r w:rsidRPr="00082180">
        <w:t xml:space="preserve"> (u daljnjem tekstu: davatelj javne usluge) podnosi zahtjev za izdavanje suglasnosti na cjenik javne usluge sakupljanja komunalnog otpada.</w:t>
      </w:r>
    </w:p>
    <w:p w14:paraId="55A2E84E" w14:textId="77777777" w:rsidR="00CA7247" w:rsidRDefault="00CA7247" w:rsidP="00CA7247"/>
    <w:p w14:paraId="65B6C968" w14:textId="77777777" w:rsidR="00CA7247" w:rsidRDefault="00CA7247" w:rsidP="00CA7247">
      <w:pPr>
        <w:pStyle w:val="Naslov2"/>
      </w:pPr>
      <w:bookmarkStart w:id="5" w:name="_Toc183423646"/>
      <w:r>
        <w:lastRenderedPageBreak/>
        <w:t>Razlozi za donošenje novog cjenika</w:t>
      </w:r>
      <w:bookmarkEnd w:id="5"/>
    </w:p>
    <w:p w14:paraId="30598927" w14:textId="77777777" w:rsidR="00CA7247" w:rsidRDefault="00CA7247" w:rsidP="00CA7247"/>
    <w:p w14:paraId="75EF65FF" w14:textId="77777777" w:rsidR="00CA7247" w:rsidRPr="006F2C8D" w:rsidRDefault="00CA7247" w:rsidP="00CA7247">
      <w:pPr>
        <w:jc w:val="both"/>
      </w:pPr>
      <w:r>
        <w:t>Razlog za donošenje novog cjenika javne usluge je prilagodba sustava gospodarenja komunalnim otpadom na području Grada Hvara  sukladno novom Zakonu o gospodarenju otpadom kojim se značajno povećava obim i kvaliteta pružanja javne usluge sakupljanja komunalnog otpada i na drugačiji način  donosi i definira struktura cijene javne usluge. Člankom 75. stavak 1. Zakona definirano je kako se</w:t>
      </w:r>
      <w:r w:rsidRPr="006F2C8D">
        <w:t xml:space="preserve"> </w:t>
      </w:r>
      <w:r>
        <w:t>c</w:t>
      </w:r>
      <w:r w:rsidRPr="006F2C8D">
        <w:t>ijena javne usluge plaća radi pokrića troškova pružanja javne usluge.</w:t>
      </w:r>
    </w:p>
    <w:p w14:paraId="7C28D6C1" w14:textId="77777777" w:rsidR="00CA7247" w:rsidRPr="006F2C8D" w:rsidRDefault="00CA7247" w:rsidP="00CA7247">
      <w:pPr>
        <w:jc w:val="both"/>
      </w:pPr>
      <w:r w:rsidRPr="006F2C8D">
        <w:t>Strukturu cijene javne usluge čini:</w:t>
      </w:r>
    </w:p>
    <w:p w14:paraId="45C39257" w14:textId="77777777" w:rsidR="00CA7247" w:rsidRPr="006F2C8D" w:rsidRDefault="00CA7247" w:rsidP="00CA7247">
      <w:pPr>
        <w:jc w:val="both"/>
      </w:pPr>
      <w:r w:rsidRPr="006F2C8D">
        <w:t>1. cijena za količinu predanog miješanog komunalnog otpada i</w:t>
      </w:r>
    </w:p>
    <w:p w14:paraId="7AD1E08E" w14:textId="77777777" w:rsidR="00CA7247" w:rsidRDefault="00CA7247" w:rsidP="00CA7247">
      <w:pPr>
        <w:jc w:val="both"/>
      </w:pPr>
      <w:r w:rsidRPr="006F2C8D">
        <w:t>2. cijena obvezne minimalne javne usluge.</w:t>
      </w:r>
    </w:p>
    <w:p w14:paraId="7CC9E3A2" w14:textId="77777777" w:rsidR="00A2683F" w:rsidRDefault="00EA7D1D" w:rsidP="00CA7247">
      <w:pPr>
        <w:jc w:val="both"/>
      </w:pPr>
      <w:r>
        <w:t>Ukupni troškovi pružanja javne usluge obuhvaćaju slijedeće:</w:t>
      </w:r>
    </w:p>
    <w:p w14:paraId="78AB53EC" w14:textId="682EB091" w:rsidR="00EA7D1D" w:rsidRPr="006F2C8D" w:rsidRDefault="00EA7D1D" w:rsidP="00CA7247">
      <w:pPr>
        <w:jc w:val="both"/>
      </w:pPr>
      <w:r>
        <w:t>troškove djelatnika potrebnih za obavljanje usluge pružanja javne usluge, troškove nabave i održavanja opreme, vozila i infrastrukture za prikupljanje otpada, troškove prijevoza otpada, troškove obrade komunalnog otpada, troškove nastale radom reciklažnog dvorišta, troškove zaprimanja bez naknade otpada nastalog u kućanstvu u reciklažnom dvorištu, troškove prijevoza i obrade glomaznog otpada koji se prikuplja u okviru javne usluge, troškove prikupljanja, prijevoza i predaje reciklabilnog komunalnog otpada ovlaštenoj osobi, a koji se prikuplja u okviru javne usluge, troškove obavljanja djelatnosti odlagališta otpada povezani s javnom uslugom, troškovi vođenja propisanih evidencija i izvješćivanja u vezi s javnom uslugom</w:t>
      </w:r>
    </w:p>
    <w:p w14:paraId="60A09654" w14:textId="77777777" w:rsidR="00CA7247" w:rsidRDefault="00CA7247" w:rsidP="00CA7247">
      <w:pPr>
        <w:jc w:val="both"/>
      </w:pPr>
      <w:r>
        <w:t xml:space="preserve">Predloženi cjenik davatelja javne usluge u potpunosti je usklađen sa Zakonom koji cijenu definira upravo na gore navedene okvire. </w:t>
      </w:r>
    </w:p>
    <w:p w14:paraId="0BB40057" w14:textId="77777777" w:rsidR="00CA7247" w:rsidRDefault="00CA7247" w:rsidP="00CA7247"/>
    <w:p w14:paraId="137DCBB2" w14:textId="77777777" w:rsidR="00CA7247" w:rsidRDefault="00CA7247" w:rsidP="00CA7247">
      <w:pPr>
        <w:pStyle w:val="Naslov1"/>
      </w:pPr>
      <w:bookmarkStart w:id="6" w:name="_Toc183423647"/>
      <w:r>
        <w:t>Prikaz postojećeg stanja pružanja usluge</w:t>
      </w:r>
      <w:bookmarkEnd w:id="6"/>
    </w:p>
    <w:p w14:paraId="5BFC2715" w14:textId="77777777" w:rsidR="00CA7247" w:rsidRDefault="00CA7247" w:rsidP="00CA7247">
      <w:pPr>
        <w:jc w:val="both"/>
      </w:pPr>
    </w:p>
    <w:p w14:paraId="73742C0A" w14:textId="3B32B93B" w:rsidR="00CA7247" w:rsidRDefault="00CA7247" w:rsidP="00CA7247">
      <w:pPr>
        <w:jc w:val="both"/>
      </w:pPr>
      <w:r>
        <w:t xml:space="preserve">Na području grada Hvara  Komunalno Hvar  d.o.o. komunalni otpad prikuplja od ukupno </w:t>
      </w:r>
      <w:r w:rsidRPr="00287FC8">
        <w:t>25</w:t>
      </w:r>
      <w:r w:rsidR="00351E63">
        <w:t>83</w:t>
      </w:r>
      <w:r>
        <w:t xml:space="preserve"> korisnika fizičkih osoba i </w:t>
      </w:r>
      <w:r w:rsidR="00791B2B">
        <w:t>58</w:t>
      </w:r>
      <w:r w:rsidR="00351E63">
        <w:t>8</w:t>
      </w:r>
      <w:r>
        <w:t xml:space="preserve"> pravnih osoba. </w:t>
      </w:r>
    </w:p>
    <w:p w14:paraId="4ACA6C8D" w14:textId="77777777" w:rsidR="00CA7247" w:rsidRDefault="00CA7247" w:rsidP="00CA7247">
      <w:pPr>
        <w:jc w:val="both"/>
      </w:pPr>
      <w:r>
        <w:t>Za navedene korisnike usluga se do sada obavljala prema slijedećoj dinamici:</w:t>
      </w:r>
    </w:p>
    <w:p w14:paraId="52B32CDF" w14:textId="77777777" w:rsidR="00CA7247" w:rsidRPr="002D336E" w:rsidRDefault="00CA7247" w:rsidP="00CA7247">
      <w:pPr>
        <w:pStyle w:val="Odlomakpopisa"/>
        <w:numPr>
          <w:ilvl w:val="0"/>
          <w:numId w:val="12"/>
        </w:numPr>
        <w:jc w:val="both"/>
        <w:rPr>
          <w:rFonts w:cstheme="minorHAnsi"/>
        </w:rPr>
      </w:pPr>
      <w:r w:rsidRPr="002D336E">
        <w:rPr>
          <w:rFonts w:cstheme="minorHAnsi"/>
        </w:rPr>
        <w:t>Korisnici fizičke osobe u gradskoj zoni – 2 puta tjedno</w:t>
      </w:r>
    </w:p>
    <w:p w14:paraId="3ECD4413" w14:textId="77777777" w:rsidR="00CA7247" w:rsidRPr="002D336E" w:rsidRDefault="00CA7247" w:rsidP="00CA7247">
      <w:pPr>
        <w:pStyle w:val="Odlomakpopisa"/>
        <w:numPr>
          <w:ilvl w:val="0"/>
          <w:numId w:val="12"/>
        </w:numPr>
        <w:jc w:val="both"/>
        <w:rPr>
          <w:rFonts w:cstheme="minorHAnsi"/>
        </w:rPr>
      </w:pPr>
      <w:r w:rsidRPr="002D336E">
        <w:rPr>
          <w:rFonts w:cstheme="minorHAnsi"/>
        </w:rPr>
        <w:t>Korisnici fizičke osobe u ruralnoj zoni – 2 put tjedno</w:t>
      </w:r>
    </w:p>
    <w:p w14:paraId="63B9574E" w14:textId="6238881C" w:rsidR="00CA7247" w:rsidRDefault="00CA7247" w:rsidP="00CA7247">
      <w:pPr>
        <w:jc w:val="both"/>
      </w:pPr>
      <w:r>
        <w:t xml:space="preserve">Odvojeno prikupljeni otpad prikuplja se kroz više modela (od vrata do vrata u gradskoj zoni, putem zelenih otoka). </w:t>
      </w:r>
    </w:p>
    <w:p w14:paraId="400FDFD3" w14:textId="77777777" w:rsidR="00CA7247" w:rsidRDefault="00CA7247" w:rsidP="00CA7247">
      <w:pPr>
        <w:jc w:val="both"/>
      </w:pPr>
    </w:p>
    <w:p w14:paraId="78250E78" w14:textId="77777777" w:rsidR="00CA7247" w:rsidRDefault="00CA7247" w:rsidP="00CA7247">
      <w:pPr>
        <w:jc w:val="both"/>
      </w:pPr>
    </w:p>
    <w:p w14:paraId="4D9B57B1" w14:textId="77777777" w:rsidR="001747AD" w:rsidRDefault="001747AD" w:rsidP="00110706">
      <w:pPr>
        <w:jc w:val="center"/>
      </w:pPr>
    </w:p>
    <w:p w14:paraId="5B801237" w14:textId="77777777" w:rsidR="001747AD" w:rsidRDefault="001747AD" w:rsidP="00110706">
      <w:pPr>
        <w:jc w:val="center"/>
      </w:pPr>
    </w:p>
    <w:p w14:paraId="64ED1356" w14:textId="77777777" w:rsidR="00CA7247" w:rsidRPr="009D3924" w:rsidRDefault="00CA7247" w:rsidP="00CA7247">
      <w:pPr>
        <w:pStyle w:val="Naslov1"/>
      </w:pPr>
      <w:r w:rsidRPr="009D3924">
        <w:lastRenderedPageBreak/>
        <w:t>Razdioba</w:t>
      </w:r>
      <w:r>
        <w:t xml:space="preserve"> kategorija</w:t>
      </w:r>
      <w:r w:rsidRPr="009D3924">
        <w:t xml:space="preserve"> troškova </w:t>
      </w:r>
      <w:r>
        <w:t>u</w:t>
      </w:r>
      <w:r w:rsidRPr="009D3924">
        <w:t xml:space="preserve"> strukturi cijene</w:t>
      </w:r>
    </w:p>
    <w:p w14:paraId="760BB1F1" w14:textId="77777777" w:rsidR="00CA7247" w:rsidRDefault="00CA7247" w:rsidP="00CA7247">
      <w:pPr>
        <w:jc w:val="both"/>
      </w:pPr>
    </w:p>
    <w:p w14:paraId="39B65360" w14:textId="27492D62" w:rsidR="00CA7247" w:rsidRPr="001D4C0F" w:rsidRDefault="00CA7247" w:rsidP="00CA7247">
      <w:pPr>
        <w:jc w:val="both"/>
      </w:pPr>
      <w:r w:rsidRPr="001D4C0F">
        <w:t>Omjer cijene za količinu predanog miješanog otpada i cijene obvezn</w:t>
      </w:r>
      <w:r w:rsidR="00934117">
        <w:t>e</w:t>
      </w:r>
      <w:r w:rsidRPr="001D4C0F">
        <w:t xml:space="preserve"> minimalne javne usluge u cijeni javne usluge, sukladno članku 75. stavak 5. Zakona mora biti odmjeren na način koji će osigurati obavljanje javne usluge na kvalitetan, postojan i ekonomski učinkovit način, izbjegavajući neopravdano visoke troškove, u skladu s načelima održivog razvoja, zaštite okoliša, javnost</w:t>
      </w:r>
      <w:r>
        <w:t>i</w:t>
      </w:r>
      <w:r w:rsidRPr="001D4C0F">
        <w:t xml:space="preserve"> </w:t>
      </w:r>
      <w:r>
        <w:t xml:space="preserve">rada </w:t>
      </w:r>
      <w:r w:rsidRPr="001D4C0F">
        <w:t>kako bi se osigural</w:t>
      </w:r>
      <w:r>
        <w:t xml:space="preserve">a provedba načela onečišćivač plaća </w:t>
      </w:r>
      <w:r w:rsidRPr="001D4C0F">
        <w:t>i poticalo odvojeno sakupljanje otpada.</w:t>
      </w:r>
    </w:p>
    <w:p w14:paraId="22A96836" w14:textId="77777777" w:rsidR="00CA7247" w:rsidRDefault="00CA7247" w:rsidP="00CA7247"/>
    <w:p w14:paraId="580FAD64" w14:textId="77777777" w:rsidR="00CA7247" w:rsidRDefault="00CA7247" w:rsidP="00CA7247">
      <w:pPr>
        <w:pStyle w:val="Naslov2"/>
      </w:pPr>
      <w:r>
        <w:t>Troškovi unutar cijene</w:t>
      </w:r>
      <w:r w:rsidRPr="009D3924">
        <w:t xml:space="preserve"> za </w:t>
      </w:r>
      <w:r>
        <w:t>minimalnu javnu uslugu</w:t>
      </w:r>
      <w:r w:rsidRPr="009D3924">
        <w:t xml:space="preserve">  </w:t>
      </w:r>
    </w:p>
    <w:p w14:paraId="6C7BC3FF" w14:textId="77777777" w:rsidR="00CA7247" w:rsidRDefault="00CA7247" w:rsidP="00CA7247"/>
    <w:p w14:paraId="631AF257" w14:textId="77777777" w:rsidR="00CA7247" w:rsidRPr="00583EA7" w:rsidRDefault="00CA7247" w:rsidP="00CA7247">
      <w:pPr>
        <w:jc w:val="both"/>
      </w:pPr>
      <w:r>
        <w:t xml:space="preserve">Troškovi sustava gospodarenja otpadom </w:t>
      </w:r>
      <w:r w:rsidRPr="00462CDB">
        <w:rPr>
          <w:rFonts w:cstheme="minorHAnsi"/>
        </w:rPr>
        <w:t xml:space="preserve">obuhvaćaju </w:t>
      </w:r>
      <w:r w:rsidRPr="00462CDB">
        <w:rPr>
          <w:rFonts w:cstheme="minorHAnsi"/>
          <w:b/>
          <w:bCs/>
        </w:rPr>
        <w:t>materijalne troškove</w:t>
      </w:r>
      <w:r w:rsidRPr="00462CDB">
        <w:rPr>
          <w:rFonts w:cstheme="minorHAnsi"/>
        </w:rPr>
        <w:t xml:space="preserve"> (osnovni i uredski materijal, električnu energiju, gorivo, mazivo, sitni inventar, auto gume i slično),  </w:t>
      </w:r>
      <w:r w:rsidRPr="00462CDB">
        <w:rPr>
          <w:rFonts w:cstheme="minorHAnsi"/>
          <w:b/>
          <w:bCs/>
        </w:rPr>
        <w:t xml:space="preserve">troškove usluga </w:t>
      </w:r>
      <w:r w:rsidRPr="00462CDB">
        <w:rPr>
          <w:rFonts w:cstheme="minorHAnsi"/>
        </w:rPr>
        <w:t xml:space="preserve">(poštarine, telekomunikacije, tekuće održavanje, najam prostora i opreme, režijski troškovi, financijski rashodi, premije osiguranja, registracija i tehnički pregled i slično) </w:t>
      </w:r>
      <w:r w:rsidRPr="00462CDB">
        <w:rPr>
          <w:rFonts w:cstheme="minorHAnsi"/>
          <w:b/>
          <w:bCs/>
        </w:rPr>
        <w:t>nematerijalne troškove</w:t>
      </w:r>
      <w:r w:rsidRPr="00462CDB">
        <w:rPr>
          <w:rFonts w:cstheme="minorHAnsi"/>
        </w:rPr>
        <w:t xml:space="preserve"> (prijevoz radnika, nagrade, otpremnine, pomoći), </w:t>
      </w:r>
      <w:r w:rsidRPr="00462CDB">
        <w:rPr>
          <w:rFonts w:cstheme="minorHAnsi"/>
          <w:b/>
        </w:rPr>
        <w:t>troškove</w:t>
      </w:r>
      <w:r w:rsidRPr="00462CDB">
        <w:rPr>
          <w:rFonts w:cstheme="minorHAnsi"/>
        </w:rPr>
        <w:t xml:space="preserve"> </w:t>
      </w:r>
      <w:r w:rsidRPr="00462CDB">
        <w:rPr>
          <w:rFonts w:cstheme="minorHAnsi"/>
          <w:b/>
          <w:bCs/>
        </w:rPr>
        <w:t xml:space="preserve">amortizacije, troškove nabave opreme za prikupljanje otpada, troškove vođenja evidencija </w:t>
      </w:r>
      <w:r w:rsidRPr="00462CDB">
        <w:rPr>
          <w:rFonts w:cstheme="minorHAnsi"/>
          <w:bCs/>
        </w:rPr>
        <w:t>i</w:t>
      </w:r>
      <w:r w:rsidRPr="00462CDB">
        <w:rPr>
          <w:rFonts w:cstheme="minorHAnsi"/>
          <w:b/>
          <w:bCs/>
        </w:rPr>
        <w:t xml:space="preserve"> troškove plaća radnika.</w:t>
      </w:r>
      <w:r>
        <w:rPr>
          <w:rFonts w:cstheme="minorHAnsi"/>
          <w:b/>
          <w:bCs/>
        </w:rPr>
        <w:t xml:space="preserve"> </w:t>
      </w:r>
      <w:r w:rsidRPr="00583EA7">
        <w:rPr>
          <w:rFonts w:cstheme="minorHAnsi"/>
        </w:rPr>
        <w:t xml:space="preserve">Minimalna javna usluga obuhvaća prikupljanje </w:t>
      </w:r>
      <w:r>
        <w:rPr>
          <w:rFonts w:cstheme="minorHAnsi"/>
        </w:rPr>
        <w:t xml:space="preserve">otpada i troškove vezane uz prikupljanje otpada. </w:t>
      </w:r>
    </w:p>
    <w:p w14:paraId="1BCFD23E" w14:textId="77777777" w:rsidR="00CA7247" w:rsidRDefault="00CA7247" w:rsidP="00CA7247"/>
    <w:p w14:paraId="0EC157D0" w14:textId="77777777" w:rsidR="00CA7247" w:rsidRDefault="00CA7247" w:rsidP="00CA7247">
      <w:pPr>
        <w:pStyle w:val="Naslov2"/>
      </w:pPr>
      <w:r>
        <w:t>Troškovi unutar cijene</w:t>
      </w:r>
      <w:r w:rsidRPr="009D3924">
        <w:t xml:space="preserve"> za količinu predanog otpada  </w:t>
      </w:r>
    </w:p>
    <w:p w14:paraId="2A527E63" w14:textId="77777777" w:rsidR="00CA7247" w:rsidRDefault="00CA7247" w:rsidP="00CA7247"/>
    <w:p w14:paraId="39C75BCE" w14:textId="77777777" w:rsidR="00CA7247" w:rsidRDefault="00CA7247" w:rsidP="00CA7247">
      <w:pPr>
        <w:spacing w:after="3" w:line="276" w:lineRule="auto"/>
        <w:ind w:right="57"/>
        <w:jc w:val="both"/>
        <w:rPr>
          <w:rFonts w:cstheme="minorHAnsi"/>
        </w:rPr>
      </w:pPr>
      <w:r w:rsidRPr="003605AF">
        <w:rPr>
          <w:rFonts w:cstheme="minorHAnsi"/>
        </w:rPr>
        <w:t>Cijena</w:t>
      </w:r>
      <w:r>
        <w:rPr>
          <w:rFonts w:cstheme="minorHAnsi"/>
        </w:rPr>
        <w:t xml:space="preserve"> za količinu predanog otpada</w:t>
      </w:r>
      <w:r w:rsidRPr="003605AF">
        <w:rPr>
          <w:rFonts w:cstheme="minorHAnsi"/>
        </w:rPr>
        <w:t xml:space="preserve">  određena</w:t>
      </w:r>
      <w:r>
        <w:rPr>
          <w:rFonts w:cstheme="minorHAnsi"/>
        </w:rPr>
        <w:t xml:space="preserve"> je</w:t>
      </w:r>
      <w:r w:rsidRPr="003605AF">
        <w:rPr>
          <w:rFonts w:cstheme="minorHAnsi"/>
        </w:rPr>
        <w:t xml:space="preserve"> </w:t>
      </w:r>
      <w:r>
        <w:rPr>
          <w:rFonts w:cstheme="minorHAnsi"/>
        </w:rPr>
        <w:t xml:space="preserve">prema </w:t>
      </w:r>
      <w:r w:rsidRPr="003605AF">
        <w:rPr>
          <w:rFonts w:cstheme="minorHAnsi"/>
        </w:rPr>
        <w:t>troškovima zbrinjavanja otpada</w:t>
      </w:r>
      <w:r>
        <w:rPr>
          <w:rFonts w:cstheme="minorHAnsi"/>
        </w:rPr>
        <w:t xml:space="preserve"> te se iz cijene za količinu predanog miješanog komunalnog otpada primarno financiraju:</w:t>
      </w:r>
    </w:p>
    <w:p w14:paraId="3019BE63" w14:textId="77777777" w:rsidR="00CA7247" w:rsidRPr="009D3924" w:rsidRDefault="00CA7247" w:rsidP="00CA7247"/>
    <w:p w14:paraId="66A9998E" w14:textId="77777777" w:rsidR="00CA7247" w:rsidRPr="003605AF" w:rsidRDefault="00CA7247" w:rsidP="00CA7247">
      <w:pPr>
        <w:spacing w:after="3" w:line="276" w:lineRule="auto"/>
        <w:ind w:right="-65"/>
        <w:jc w:val="both"/>
        <w:rPr>
          <w:rFonts w:cstheme="minorHAnsi"/>
        </w:rPr>
      </w:pPr>
      <w:r>
        <w:rPr>
          <w:rFonts w:cstheme="minorHAnsi"/>
          <w:b/>
          <w:bCs/>
        </w:rPr>
        <w:t xml:space="preserve">I. </w:t>
      </w:r>
      <w:r w:rsidRPr="003605AF">
        <w:rPr>
          <w:rFonts w:cstheme="minorHAnsi"/>
        </w:rPr>
        <w:t>Troškovi rada odlagališta otpada</w:t>
      </w:r>
      <w:r>
        <w:rPr>
          <w:rFonts w:cstheme="minorHAnsi"/>
        </w:rPr>
        <w:t>,</w:t>
      </w:r>
      <w:r w:rsidRPr="003605AF">
        <w:rPr>
          <w:rFonts w:cstheme="minorHAnsi"/>
        </w:rPr>
        <w:t xml:space="preserve"> koji obuhvaćaju:</w:t>
      </w:r>
    </w:p>
    <w:p w14:paraId="1374C244" w14:textId="77777777" w:rsidR="00CA7247" w:rsidRDefault="00CA7247" w:rsidP="00CA7247">
      <w:pPr>
        <w:pStyle w:val="Odlomakpopisa"/>
        <w:numPr>
          <w:ilvl w:val="0"/>
          <w:numId w:val="13"/>
        </w:numPr>
        <w:spacing w:after="3" w:line="276" w:lineRule="auto"/>
        <w:ind w:right="-65"/>
        <w:jc w:val="both"/>
        <w:rPr>
          <w:rFonts w:cstheme="minorHAnsi"/>
        </w:rPr>
      </w:pPr>
      <w:r w:rsidRPr="00333158">
        <w:rPr>
          <w:rFonts w:cstheme="minorHAnsi"/>
        </w:rPr>
        <w:t xml:space="preserve"> </w:t>
      </w:r>
      <w:r w:rsidRPr="00333158">
        <w:rPr>
          <w:rFonts w:cstheme="minorHAnsi"/>
          <w:b/>
          <w:bCs/>
        </w:rPr>
        <w:t>materijalne troškove</w:t>
      </w:r>
      <w:r w:rsidRPr="00333158">
        <w:rPr>
          <w:rFonts w:cstheme="minorHAnsi"/>
        </w:rPr>
        <w:t xml:space="preserve"> (osnovni i uredski materijal, električnu energiju, gorivo, mazivo, sitni inventar, auto gume i slično), </w:t>
      </w:r>
    </w:p>
    <w:p w14:paraId="014D70D7" w14:textId="77777777" w:rsidR="00CA7247" w:rsidRDefault="00CA7247" w:rsidP="00CA7247">
      <w:pPr>
        <w:pStyle w:val="Odlomakpopisa"/>
        <w:numPr>
          <w:ilvl w:val="0"/>
          <w:numId w:val="13"/>
        </w:numPr>
        <w:spacing w:after="3" w:line="276" w:lineRule="auto"/>
        <w:ind w:right="-65"/>
        <w:jc w:val="both"/>
        <w:rPr>
          <w:rFonts w:cstheme="minorHAnsi"/>
        </w:rPr>
      </w:pPr>
      <w:r w:rsidRPr="00333158">
        <w:rPr>
          <w:rFonts w:cstheme="minorHAnsi"/>
          <w:b/>
          <w:bCs/>
        </w:rPr>
        <w:t>troškove usluga</w:t>
      </w:r>
      <w:r w:rsidRPr="00333158">
        <w:rPr>
          <w:rFonts w:cstheme="minorHAnsi"/>
        </w:rPr>
        <w:t xml:space="preserve"> (tekuće održavanje, najam opreme, režijski troškovi, financijski rashodi, premije osiguranja, registracija i tehnički pregled i slično)</w:t>
      </w:r>
    </w:p>
    <w:p w14:paraId="12EE9C2F" w14:textId="77777777" w:rsidR="00CA7247" w:rsidRDefault="00CA7247" w:rsidP="00CA7247">
      <w:pPr>
        <w:pStyle w:val="Odlomakpopisa"/>
        <w:numPr>
          <w:ilvl w:val="0"/>
          <w:numId w:val="13"/>
        </w:numPr>
        <w:spacing w:after="3" w:line="276" w:lineRule="auto"/>
        <w:ind w:right="-65"/>
        <w:jc w:val="both"/>
        <w:rPr>
          <w:rFonts w:cstheme="minorHAnsi"/>
        </w:rPr>
      </w:pPr>
      <w:r w:rsidRPr="00333158">
        <w:rPr>
          <w:rFonts w:cstheme="minorHAnsi"/>
        </w:rPr>
        <w:t xml:space="preserve"> </w:t>
      </w:r>
      <w:r w:rsidRPr="00333158">
        <w:rPr>
          <w:rFonts w:cstheme="minorHAnsi"/>
          <w:b/>
          <w:bCs/>
        </w:rPr>
        <w:t>nematerijalne troškove</w:t>
      </w:r>
      <w:r w:rsidRPr="00333158">
        <w:rPr>
          <w:rFonts w:cstheme="minorHAnsi"/>
        </w:rPr>
        <w:t xml:space="preserve"> (prijevoz radnika, nagrade, otpremnine, pomoći), </w:t>
      </w:r>
    </w:p>
    <w:p w14:paraId="66EA73C4" w14:textId="77777777" w:rsidR="00CA7247" w:rsidRPr="003605AF" w:rsidRDefault="00CA7247" w:rsidP="00CA7247">
      <w:pPr>
        <w:pStyle w:val="Odlomakpopisa"/>
        <w:numPr>
          <w:ilvl w:val="0"/>
          <w:numId w:val="13"/>
        </w:numPr>
        <w:spacing w:after="3" w:line="276" w:lineRule="auto"/>
        <w:ind w:right="-65"/>
        <w:jc w:val="both"/>
        <w:rPr>
          <w:rFonts w:cstheme="minorHAnsi"/>
        </w:rPr>
      </w:pPr>
      <w:r w:rsidRPr="00333158">
        <w:rPr>
          <w:rFonts w:cstheme="minorHAnsi"/>
          <w:b/>
          <w:bCs/>
        </w:rPr>
        <w:t>troškove amortizacije,</w:t>
      </w:r>
    </w:p>
    <w:p w14:paraId="4B68107D" w14:textId="77777777" w:rsidR="00CA7247" w:rsidRPr="003605AF" w:rsidRDefault="00CA7247" w:rsidP="00CA7247">
      <w:pPr>
        <w:pStyle w:val="Odlomakpopisa"/>
        <w:numPr>
          <w:ilvl w:val="0"/>
          <w:numId w:val="13"/>
        </w:numPr>
        <w:spacing w:after="3" w:line="276" w:lineRule="auto"/>
        <w:ind w:right="-65"/>
        <w:jc w:val="both"/>
        <w:rPr>
          <w:rFonts w:cstheme="minorHAnsi"/>
        </w:rPr>
      </w:pPr>
      <w:r w:rsidRPr="00333158">
        <w:rPr>
          <w:rFonts w:cstheme="minorHAnsi"/>
          <w:b/>
          <w:bCs/>
        </w:rPr>
        <w:t xml:space="preserve"> troškove nabave opreme,</w:t>
      </w:r>
    </w:p>
    <w:p w14:paraId="724D6B51" w14:textId="77777777" w:rsidR="00CA7247" w:rsidRPr="003605AF" w:rsidRDefault="00CA7247" w:rsidP="00CA7247">
      <w:pPr>
        <w:pStyle w:val="Odlomakpopisa"/>
        <w:numPr>
          <w:ilvl w:val="0"/>
          <w:numId w:val="13"/>
        </w:numPr>
        <w:spacing w:after="3" w:line="276" w:lineRule="auto"/>
        <w:ind w:right="-65"/>
        <w:jc w:val="both"/>
        <w:rPr>
          <w:rFonts w:cstheme="minorHAnsi"/>
        </w:rPr>
      </w:pPr>
      <w:r w:rsidRPr="00333158">
        <w:rPr>
          <w:rFonts w:cstheme="minorHAnsi"/>
          <w:b/>
          <w:bCs/>
        </w:rPr>
        <w:t xml:space="preserve"> troškove vođenja evidencija i </w:t>
      </w:r>
    </w:p>
    <w:p w14:paraId="1F1AEF73" w14:textId="77777777" w:rsidR="00CA7247" w:rsidRDefault="00CA7247" w:rsidP="00CA7247">
      <w:pPr>
        <w:pStyle w:val="Odlomakpopisa"/>
        <w:numPr>
          <w:ilvl w:val="0"/>
          <w:numId w:val="13"/>
        </w:numPr>
        <w:spacing w:after="3" w:line="276" w:lineRule="auto"/>
        <w:ind w:right="-65"/>
        <w:jc w:val="both"/>
        <w:rPr>
          <w:rFonts w:cstheme="minorHAnsi"/>
        </w:rPr>
      </w:pPr>
      <w:r w:rsidRPr="00333158">
        <w:rPr>
          <w:rFonts w:cstheme="minorHAnsi"/>
          <w:b/>
          <w:bCs/>
        </w:rPr>
        <w:t>troškove plaća radnika</w:t>
      </w:r>
      <w:r w:rsidRPr="00333158">
        <w:rPr>
          <w:rFonts w:cstheme="minorHAnsi"/>
        </w:rPr>
        <w:t>.</w:t>
      </w:r>
    </w:p>
    <w:p w14:paraId="6760CD57" w14:textId="77777777" w:rsidR="00CA7247" w:rsidRDefault="00CA7247" w:rsidP="00CA7247">
      <w:pPr>
        <w:pStyle w:val="Odlomakpopisa"/>
        <w:spacing w:after="3" w:line="276" w:lineRule="auto"/>
        <w:ind w:right="-65"/>
        <w:jc w:val="both"/>
        <w:rPr>
          <w:rFonts w:cstheme="minorHAnsi"/>
        </w:rPr>
      </w:pPr>
    </w:p>
    <w:p w14:paraId="07B27626" w14:textId="17E60769" w:rsidR="00CA7247" w:rsidRPr="003605AF" w:rsidRDefault="00CA7247" w:rsidP="00CA7247">
      <w:pPr>
        <w:spacing w:after="3" w:line="276" w:lineRule="auto"/>
        <w:ind w:right="-65"/>
        <w:jc w:val="both"/>
        <w:rPr>
          <w:rFonts w:cstheme="minorHAnsi"/>
        </w:rPr>
      </w:pPr>
      <w:r w:rsidRPr="003605AF">
        <w:rPr>
          <w:rFonts w:cstheme="minorHAnsi"/>
          <w:b/>
          <w:bCs/>
        </w:rPr>
        <w:t>II</w:t>
      </w:r>
      <w:r>
        <w:rPr>
          <w:rFonts w:cstheme="minorHAnsi"/>
          <w:b/>
          <w:bCs/>
        </w:rPr>
        <w:t>.</w:t>
      </w:r>
      <w:r w:rsidRPr="003605AF">
        <w:rPr>
          <w:rFonts w:cstheme="minorHAnsi"/>
          <w:b/>
          <w:bCs/>
        </w:rPr>
        <w:t xml:space="preserve"> </w:t>
      </w:r>
      <w:r>
        <w:rPr>
          <w:rFonts w:cstheme="minorHAnsi"/>
        </w:rPr>
        <w:t>T</w:t>
      </w:r>
      <w:r w:rsidRPr="003605AF">
        <w:rPr>
          <w:rFonts w:cstheme="minorHAnsi"/>
        </w:rPr>
        <w:t>roškovi zbrinjavanja otpada</w:t>
      </w:r>
      <w:r>
        <w:rPr>
          <w:rFonts w:cstheme="minorHAnsi"/>
        </w:rPr>
        <w:t xml:space="preserve"> kod ovlaštenih </w:t>
      </w:r>
      <w:r w:rsidR="00791B2B">
        <w:rPr>
          <w:rFonts w:cstheme="minorHAnsi"/>
        </w:rPr>
        <w:t xml:space="preserve">sakupljača i </w:t>
      </w:r>
      <w:r w:rsidR="00BD7BFF">
        <w:rPr>
          <w:rFonts w:cstheme="minorHAnsi"/>
        </w:rPr>
        <w:t>oporabitelja</w:t>
      </w:r>
      <w:r>
        <w:rPr>
          <w:rFonts w:cstheme="minorHAnsi"/>
        </w:rPr>
        <w:t xml:space="preserve"> za određene vrste otpada, koji su kao vanjska usluga</w:t>
      </w:r>
      <w:r w:rsidRPr="003605AF">
        <w:rPr>
          <w:rFonts w:cstheme="minorHAnsi"/>
        </w:rPr>
        <w:t xml:space="preserve"> kalkulira</w:t>
      </w:r>
      <w:r>
        <w:rPr>
          <w:rFonts w:cstheme="minorHAnsi"/>
        </w:rPr>
        <w:t>n</w:t>
      </w:r>
      <w:r w:rsidRPr="003605AF">
        <w:rPr>
          <w:rFonts w:cstheme="minorHAnsi"/>
        </w:rPr>
        <w:t>i na bazi postignutih cijena putem instrumenta javne nabave i situacij</w:t>
      </w:r>
      <w:r>
        <w:rPr>
          <w:rFonts w:cstheme="minorHAnsi"/>
        </w:rPr>
        <w:t>e</w:t>
      </w:r>
      <w:r w:rsidRPr="003605AF">
        <w:rPr>
          <w:rFonts w:cstheme="minorHAnsi"/>
        </w:rPr>
        <w:t xml:space="preserve"> na tržištu općenito (</w:t>
      </w:r>
      <w:r>
        <w:rPr>
          <w:rFonts w:cstheme="minorHAnsi"/>
        </w:rPr>
        <w:t>g</w:t>
      </w:r>
      <w:r w:rsidRPr="003605AF">
        <w:rPr>
          <w:rFonts w:cstheme="minorHAnsi"/>
        </w:rPr>
        <w:t>lomazni otpad, građevinski otpad, zeleni otpad i druge kategorije otpada koje nemaju pozitivnu vrijednost na tržištu).</w:t>
      </w:r>
    </w:p>
    <w:p w14:paraId="5B47BDEB" w14:textId="77777777" w:rsidR="001747AD" w:rsidRDefault="001747AD" w:rsidP="001747AD"/>
    <w:p w14:paraId="3AF09A51" w14:textId="77777777" w:rsidR="00CA7247" w:rsidRDefault="00CA7247" w:rsidP="00CA7247">
      <w:pPr>
        <w:pStyle w:val="Naslov1"/>
      </w:pPr>
      <w:bookmarkStart w:id="7" w:name="_Toc183423651"/>
      <w:r>
        <w:lastRenderedPageBreak/>
        <w:t>Broj i podjela korisnika prema Zakonu i Odluci</w:t>
      </w:r>
      <w:bookmarkEnd w:id="7"/>
    </w:p>
    <w:p w14:paraId="3B5CEE11" w14:textId="77777777" w:rsidR="00CA7247" w:rsidRDefault="00CA7247" w:rsidP="00CA7247"/>
    <w:p w14:paraId="7725D771" w14:textId="77777777" w:rsidR="00CA7247" w:rsidRDefault="00CA7247" w:rsidP="00CA7247">
      <w:r>
        <w:t xml:space="preserve">Uslugu Komunalno Hvar d.o.o koristi slijedeći broj korisnika: </w:t>
      </w:r>
    </w:p>
    <w:tbl>
      <w:tblPr>
        <w:tblStyle w:val="Tablicareetke4-isticanje6"/>
        <w:tblW w:w="8283" w:type="dxa"/>
        <w:jc w:val="center"/>
        <w:tblLook w:val="0480" w:firstRow="0" w:lastRow="0" w:firstColumn="1" w:lastColumn="0" w:noHBand="0" w:noVBand="1"/>
      </w:tblPr>
      <w:tblGrid>
        <w:gridCol w:w="6941"/>
        <w:gridCol w:w="1342"/>
      </w:tblGrid>
      <w:tr w:rsidR="00CA7247" w:rsidRPr="000B774A" w14:paraId="7BED6B2E" w14:textId="77777777" w:rsidTr="008766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941" w:type="dxa"/>
            <w:noWrap/>
            <w:hideMark/>
          </w:tcPr>
          <w:p w14:paraId="01C6FF05" w14:textId="77777777" w:rsidR="00CA7247" w:rsidRPr="000B774A" w:rsidRDefault="00CA7247" w:rsidP="00876643">
            <w:pPr>
              <w:rPr>
                <w:rFonts w:eastAsia="Times New Roman" w:cstheme="minorHAnsi"/>
                <w:color w:val="000000"/>
                <w:lang w:eastAsia="hr-HR"/>
              </w:rPr>
            </w:pPr>
            <w:r w:rsidRPr="000B774A">
              <w:rPr>
                <w:rFonts w:eastAsia="Times New Roman" w:cstheme="minorHAnsi"/>
                <w:color w:val="000000"/>
                <w:lang w:eastAsia="hr-HR"/>
              </w:rPr>
              <w:t xml:space="preserve">Broj korisnika kategorija kućanstvo </w:t>
            </w:r>
          </w:p>
        </w:tc>
        <w:tc>
          <w:tcPr>
            <w:tcW w:w="1342" w:type="dxa"/>
            <w:noWrap/>
          </w:tcPr>
          <w:p w14:paraId="4A3204C2" w14:textId="27032D54" w:rsidR="00CA7247" w:rsidRPr="00595A64" w:rsidRDefault="00CA7247" w:rsidP="0087664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hr-HR"/>
              </w:rPr>
            </w:pPr>
            <w:r>
              <w:rPr>
                <w:rFonts w:eastAsia="Times New Roman" w:cstheme="minorHAnsi"/>
                <w:b/>
                <w:bCs/>
                <w:color w:val="000000"/>
                <w:lang w:eastAsia="hr-HR"/>
              </w:rPr>
              <w:t>25</w:t>
            </w:r>
            <w:r w:rsidR="00351E63">
              <w:rPr>
                <w:rFonts w:eastAsia="Times New Roman" w:cstheme="minorHAnsi"/>
                <w:b/>
                <w:bCs/>
                <w:color w:val="000000"/>
                <w:lang w:eastAsia="hr-HR"/>
              </w:rPr>
              <w:t>83</w:t>
            </w:r>
          </w:p>
        </w:tc>
      </w:tr>
      <w:tr w:rsidR="00CA7247" w:rsidRPr="00F41652" w14:paraId="00828EC3" w14:textId="77777777" w:rsidTr="00876643">
        <w:trPr>
          <w:trHeight w:val="288"/>
          <w:jc w:val="center"/>
        </w:trPr>
        <w:tc>
          <w:tcPr>
            <w:cnfStyle w:val="001000000000" w:firstRow="0" w:lastRow="0" w:firstColumn="1" w:lastColumn="0" w:oddVBand="0" w:evenVBand="0" w:oddHBand="0" w:evenHBand="0" w:firstRowFirstColumn="0" w:firstRowLastColumn="0" w:lastRowFirstColumn="0" w:lastRowLastColumn="0"/>
            <w:tcW w:w="6941" w:type="dxa"/>
            <w:noWrap/>
            <w:hideMark/>
          </w:tcPr>
          <w:p w14:paraId="5E35B959" w14:textId="77777777" w:rsidR="00CA7247" w:rsidRPr="0033365F" w:rsidRDefault="00CA7247" w:rsidP="00876643">
            <w:pPr>
              <w:rPr>
                <w:rFonts w:eastAsia="Times New Roman" w:cstheme="minorHAnsi"/>
                <w:color w:val="000000"/>
                <w:lang w:val="hr-HR" w:eastAsia="hr-HR"/>
              </w:rPr>
            </w:pPr>
            <w:r w:rsidRPr="0033365F">
              <w:rPr>
                <w:rFonts w:eastAsia="Times New Roman" w:cstheme="minorHAnsi"/>
                <w:color w:val="000000"/>
                <w:lang w:val="hr-HR" w:eastAsia="hr-HR"/>
              </w:rPr>
              <w:t xml:space="preserve">Broj korisnika iz kategorije koja nije kućanstvo </w:t>
            </w:r>
          </w:p>
        </w:tc>
        <w:tc>
          <w:tcPr>
            <w:tcW w:w="1342" w:type="dxa"/>
            <w:noWrap/>
          </w:tcPr>
          <w:p w14:paraId="4E146C10" w14:textId="44091840" w:rsidR="00CA7247" w:rsidRPr="00F41652" w:rsidRDefault="00A66004" w:rsidP="0087664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hr-HR"/>
              </w:rPr>
            </w:pPr>
            <w:r>
              <w:rPr>
                <w:rFonts w:eastAsia="Times New Roman" w:cstheme="minorHAnsi"/>
                <w:b/>
                <w:bCs/>
                <w:color w:val="000000"/>
                <w:lang w:eastAsia="hr-HR"/>
              </w:rPr>
              <w:t>58</w:t>
            </w:r>
            <w:r w:rsidR="00351E63">
              <w:rPr>
                <w:rFonts w:eastAsia="Times New Roman" w:cstheme="minorHAnsi"/>
                <w:b/>
                <w:bCs/>
                <w:color w:val="000000"/>
                <w:lang w:eastAsia="hr-HR"/>
              </w:rPr>
              <w:t>8</w:t>
            </w:r>
          </w:p>
        </w:tc>
      </w:tr>
    </w:tbl>
    <w:p w14:paraId="2BAB865D" w14:textId="77777777" w:rsidR="00CA7247" w:rsidRDefault="00CA7247" w:rsidP="00CA7247"/>
    <w:p w14:paraId="6E4E681D" w14:textId="77777777" w:rsidR="00CA7247" w:rsidRDefault="00CA7247" w:rsidP="00CA7247">
      <w:pPr>
        <w:pStyle w:val="Naslov1"/>
      </w:pPr>
      <w:bookmarkStart w:id="8" w:name="_Toc183423652"/>
      <w:r>
        <w:t>Planirano povećanje troškova provođenja sustava gospodarenja otpadom</w:t>
      </w:r>
      <w:bookmarkEnd w:id="8"/>
    </w:p>
    <w:p w14:paraId="50FD0D11" w14:textId="77777777" w:rsidR="00CA7247" w:rsidRPr="00304F0E" w:rsidRDefault="00CA7247" w:rsidP="00CA7247"/>
    <w:p w14:paraId="16EB3665" w14:textId="385D0A57" w:rsidR="00CA7247" w:rsidRPr="00745BE1" w:rsidRDefault="00827F9D" w:rsidP="00745BE1">
      <w:r>
        <w:t>Očekuje se povećanje troškova provođenja sustava gospodarenja otpadom zbog kontinuiranog razvoja i unaprjeđenja sustava odvojenog prikupljanja otpada, nabave i zamjene potrebne opreme za korisnike usluge te daljnje uspostave zakonom propisanih načina odvojenog prikupljanja pojedinih vrsta otpada. Navedeno uključuje troškove nabave spremnika, vrećica, kartica i druge opreme, kao i troškove povezane s organizacijom i provedbom sustava, sve s ciljem ispunjavanja zakonskih obveza i povećanja udjela odvojeno prikupljenog komunalnog otpada.</w:t>
      </w:r>
    </w:p>
    <w:p w14:paraId="589285C6" w14:textId="77777777" w:rsidR="00CA7247" w:rsidRPr="00A60669" w:rsidRDefault="00CA7247" w:rsidP="00CA7247"/>
    <w:p w14:paraId="0822E8E8" w14:textId="29E3C3E9" w:rsidR="00CA7247" w:rsidRPr="00351E63" w:rsidRDefault="00CA7247" w:rsidP="00CA7247">
      <w:pPr>
        <w:pStyle w:val="Naslov1"/>
      </w:pPr>
      <w:bookmarkStart w:id="9" w:name="_Toc183423653"/>
      <w:r w:rsidRPr="00351E63">
        <w:t>Plan prihoda za 202</w:t>
      </w:r>
      <w:r w:rsidR="00351E63">
        <w:t>6</w:t>
      </w:r>
      <w:r w:rsidRPr="00351E63">
        <w:t>. godinu</w:t>
      </w:r>
      <w:bookmarkEnd w:id="9"/>
      <w:r w:rsidR="00FD6BEB" w:rsidRPr="00351E63">
        <w:t xml:space="preserve"> </w:t>
      </w:r>
    </w:p>
    <w:p w14:paraId="3E4DB5F1" w14:textId="77777777" w:rsidR="00CA7247" w:rsidRDefault="00CA7247" w:rsidP="00CA7247">
      <w:pPr>
        <w:spacing w:after="3" w:line="216" w:lineRule="auto"/>
        <w:ind w:right="57"/>
        <w:jc w:val="both"/>
        <w:rPr>
          <w:rFonts w:asciiTheme="majorHAnsi" w:hAnsiTheme="majorHAnsi" w:cstheme="majorHAnsi"/>
        </w:rPr>
      </w:pPr>
    </w:p>
    <w:p w14:paraId="4649B817" w14:textId="117A8AAA" w:rsidR="00CA7247" w:rsidRPr="00462CDB" w:rsidRDefault="00CA7247" w:rsidP="00CA7247">
      <w:pPr>
        <w:spacing w:after="3" w:line="216" w:lineRule="auto"/>
        <w:ind w:right="57"/>
        <w:jc w:val="both"/>
        <w:rPr>
          <w:rFonts w:cstheme="minorHAnsi"/>
        </w:rPr>
      </w:pPr>
      <w:r w:rsidRPr="00462CDB">
        <w:rPr>
          <w:rFonts w:cstheme="minorHAnsi"/>
        </w:rPr>
        <w:t xml:space="preserve">Cijena </w:t>
      </w:r>
      <w:r>
        <w:rPr>
          <w:rFonts w:cstheme="minorHAnsi"/>
        </w:rPr>
        <w:t xml:space="preserve">javne usluge </w:t>
      </w:r>
      <w:r w:rsidRPr="00462CDB">
        <w:rPr>
          <w:rFonts w:cstheme="minorHAnsi"/>
        </w:rPr>
        <w:t>je određena kao ukupni trošak provedbe navedenih usluga podijeljen sa brojem k</w:t>
      </w:r>
      <w:r>
        <w:rPr>
          <w:rFonts w:cstheme="minorHAnsi"/>
        </w:rPr>
        <w:t>orisnika minimalne javne usluge</w:t>
      </w:r>
      <w:r w:rsidRPr="00462CDB">
        <w:rPr>
          <w:rFonts w:cstheme="minorHAnsi"/>
        </w:rPr>
        <w:t>. Sukladno izvršenim proračunima određena je cijena</w:t>
      </w:r>
      <w:r>
        <w:rPr>
          <w:rFonts w:cstheme="minorHAnsi"/>
        </w:rPr>
        <w:t xml:space="preserve"> minimalne javne usluge u iznosu od </w:t>
      </w:r>
      <w:r w:rsidR="00C130CC" w:rsidRPr="009E4305">
        <w:rPr>
          <w:rFonts w:cstheme="minorHAnsi"/>
        </w:rPr>
        <w:t>11,60</w:t>
      </w:r>
      <w:r w:rsidRPr="009E4305">
        <w:rPr>
          <w:rFonts w:cstheme="minorHAnsi"/>
        </w:rPr>
        <w:t xml:space="preserve"> </w:t>
      </w:r>
      <w:r w:rsidRPr="00287FC8">
        <w:rPr>
          <w:rFonts w:cstheme="minorHAnsi"/>
        </w:rPr>
        <w:t>eura</w:t>
      </w:r>
      <w:r>
        <w:rPr>
          <w:rFonts w:cstheme="minorHAnsi"/>
        </w:rPr>
        <w:t xml:space="preserve"> za kategoriju korisnika kućanstvo i </w:t>
      </w:r>
      <w:r w:rsidR="00C130CC" w:rsidRPr="009E4305">
        <w:rPr>
          <w:rFonts w:cstheme="minorHAnsi"/>
        </w:rPr>
        <w:t>16,56</w:t>
      </w:r>
      <w:r w:rsidRPr="009E4305">
        <w:rPr>
          <w:rFonts w:cstheme="minorHAnsi"/>
        </w:rPr>
        <w:t xml:space="preserve"> </w:t>
      </w:r>
      <w:r w:rsidRPr="00287FC8">
        <w:rPr>
          <w:rFonts w:cstheme="minorHAnsi"/>
        </w:rPr>
        <w:t>eura</w:t>
      </w:r>
      <w:r>
        <w:rPr>
          <w:rFonts w:cstheme="minorHAnsi"/>
        </w:rPr>
        <w:t xml:space="preserve"> za kategoriju korisnika koja nije kućanstvo.</w:t>
      </w:r>
      <w:r w:rsidRPr="00462CDB">
        <w:rPr>
          <w:rFonts w:cstheme="minorHAnsi"/>
        </w:rPr>
        <w:t xml:space="preserve"> </w:t>
      </w:r>
    </w:p>
    <w:p w14:paraId="15282685" w14:textId="77777777" w:rsidR="00CA7247" w:rsidRPr="00462CDB" w:rsidRDefault="00CA7247" w:rsidP="00CA7247">
      <w:pPr>
        <w:spacing w:after="3" w:line="216" w:lineRule="auto"/>
        <w:ind w:left="14" w:right="57"/>
        <w:jc w:val="both"/>
        <w:rPr>
          <w:rFonts w:cstheme="minorHAnsi"/>
        </w:rPr>
      </w:pPr>
    </w:p>
    <w:p w14:paraId="405A7FD4" w14:textId="77777777" w:rsidR="00CA7247" w:rsidRPr="00F24544" w:rsidRDefault="00CA7247" w:rsidP="00CA7247">
      <w:pPr>
        <w:spacing w:after="3" w:line="216" w:lineRule="auto"/>
        <w:ind w:left="14" w:right="57"/>
        <w:jc w:val="both"/>
        <w:rPr>
          <w:rFonts w:cstheme="minorHAnsi"/>
        </w:rPr>
      </w:pPr>
      <w:r w:rsidRPr="00287FC8">
        <w:rPr>
          <w:rFonts w:cstheme="minorHAnsi"/>
        </w:rPr>
        <w:t>Za izračun cijene javne usluge korišteni su slijedeći parametri:</w:t>
      </w:r>
      <w:r w:rsidRPr="00F24544">
        <w:rPr>
          <w:rFonts w:cstheme="minorHAnsi"/>
        </w:rPr>
        <w:t xml:space="preserve"> </w:t>
      </w:r>
    </w:p>
    <w:p w14:paraId="6AE6B4BD" w14:textId="77777777" w:rsidR="00CA7247" w:rsidRPr="00462CDB" w:rsidRDefault="00CA7247" w:rsidP="00CA7247">
      <w:pPr>
        <w:spacing w:after="3" w:line="216" w:lineRule="auto"/>
        <w:ind w:left="14" w:right="57"/>
        <w:jc w:val="both"/>
        <w:rPr>
          <w:rFonts w:cstheme="minorHAnsi"/>
          <w:b/>
          <w:bCs/>
        </w:rPr>
      </w:pPr>
    </w:p>
    <w:tbl>
      <w:tblPr>
        <w:tblStyle w:val="Tablicareetke4-isticanje6"/>
        <w:tblW w:w="8642" w:type="dxa"/>
        <w:jc w:val="center"/>
        <w:tblLook w:val="0480" w:firstRow="0" w:lastRow="0" w:firstColumn="1" w:lastColumn="0" w:noHBand="0" w:noVBand="1"/>
      </w:tblPr>
      <w:tblGrid>
        <w:gridCol w:w="6941"/>
        <w:gridCol w:w="1701"/>
      </w:tblGrid>
      <w:tr w:rsidR="00CA7247" w:rsidRPr="000B774A" w14:paraId="7E7B2943" w14:textId="77777777" w:rsidTr="008766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941" w:type="dxa"/>
            <w:noWrap/>
            <w:hideMark/>
          </w:tcPr>
          <w:p w14:paraId="2FB0B6DD" w14:textId="77777777" w:rsidR="00CA7247" w:rsidRPr="000B774A" w:rsidRDefault="00CA7247" w:rsidP="00876643">
            <w:pPr>
              <w:rPr>
                <w:rFonts w:eastAsia="Times New Roman" w:cstheme="minorHAnsi"/>
                <w:color w:val="000000"/>
                <w:lang w:eastAsia="hr-HR"/>
              </w:rPr>
            </w:pPr>
            <w:r w:rsidRPr="000B774A">
              <w:rPr>
                <w:rFonts w:eastAsia="Times New Roman" w:cstheme="minorHAnsi"/>
                <w:color w:val="000000"/>
                <w:lang w:eastAsia="hr-HR"/>
              </w:rPr>
              <w:t>CMJU – kategorija kućanstv</w:t>
            </w:r>
            <w:r>
              <w:rPr>
                <w:rFonts w:eastAsia="Times New Roman" w:cstheme="minorHAnsi"/>
                <w:color w:val="000000"/>
                <w:lang w:eastAsia="hr-HR"/>
              </w:rPr>
              <w:t>o</w:t>
            </w:r>
          </w:p>
        </w:tc>
        <w:tc>
          <w:tcPr>
            <w:tcW w:w="1701" w:type="dxa"/>
            <w:noWrap/>
            <w:hideMark/>
          </w:tcPr>
          <w:p w14:paraId="29640E09" w14:textId="775570D8" w:rsidR="00CA7247" w:rsidRPr="009E4305" w:rsidRDefault="00C130CC" w:rsidP="0087664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sidRPr="009E4305">
              <w:rPr>
                <w:rFonts w:eastAsia="Times New Roman" w:cstheme="minorHAnsi"/>
                <w:lang w:eastAsia="hr-HR"/>
              </w:rPr>
              <w:t>11,60 €</w:t>
            </w:r>
          </w:p>
        </w:tc>
      </w:tr>
      <w:tr w:rsidR="00CA7247" w:rsidRPr="000B774A" w14:paraId="381942D8" w14:textId="77777777" w:rsidTr="00876643">
        <w:trPr>
          <w:trHeight w:val="288"/>
          <w:jc w:val="center"/>
        </w:trPr>
        <w:tc>
          <w:tcPr>
            <w:cnfStyle w:val="001000000000" w:firstRow="0" w:lastRow="0" w:firstColumn="1" w:lastColumn="0" w:oddVBand="0" w:evenVBand="0" w:oddHBand="0" w:evenHBand="0" w:firstRowFirstColumn="0" w:firstRowLastColumn="0" w:lastRowFirstColumn="0" w:lastRowLastColumn="0"/>
            <w:tcW w:w="6941" w:type="dxa"/>
            <w:noWrap/>
            <w:hideMark/>
          </w:tcPr>
          <w:p w14:paraId="55EADFCE" w14:textId="77777777" w:rsidR="00CA7247" w:rsidRPr="0033365F" w:rsidRDefault="00CA7247" w:rsidP="00876643">
            <w:pPr>
              <w:rPr>
                <w:rFonts w:eastAsia="Times New Roman" w:cstheme="minorHAnsi"/>
                <w:color w:val="000000"/>
                <w:lang w:val="hr-HR" w:eastAsia="hr-HR"/>
              </w:rPr>
            </w:pPr>
            <w:r w:rsidRPr="0033365F">
              <w:rPr>
                <w:rFonts w:eastAsia="Times New Roman" w:cstheme="minorHAnsi"/>
                <w:color w:val="000000"/>
                <w:lang w:val="hr-HR" w:eastAsia="hr-HR"/>
              </w:rPr>
              <w:t>CMJU – kategorija koja nije kućanstvo</w:t>
            </w:r>
          </w:p>
        </w:tc>
        <w:tc>
          <w:tcPr>
            <w:tcW w:w="1701" w:type="dxa"/>
            <w:noWrap/>
            <w:hideMark/>
          </w:tcPr>
          <w:p w14:paraId="2E98D467" w14:textId="15A14E35" w:rsidR="00CA7247" w:rsidRPr="009E4305" w:rsidRDefault="00C130CC" w:rsidP="0087664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sidRPr="009E4305">
              <w:rPr>
                <w:rFonts w:eastAsia="Times New Roman" w:cstheme="minorHAnsi"/>
                <w:lang w:eastAsia="hr-HR"/>
              </w:rPr>
              <w:t>16,56 €</w:t>
            </w:r>
          </w:p>
        </w:tc>
      </w:tr>
      <w:tr w:rsidR="00CA7247" w:rsidRPr="000B774A" w14:paraId="2DFDC1B5" w14:textId="77777777" w:rsidTr="008766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941" w:type="dxa"/>
            <w:noWrap/>
            <w:hideMark/>
          </w:tcPr>
          <w:p w14:paraId="3C2620A0" w14:textId="1A99F300" w:rsidR="00CA7247" w:rsidRPr="000B774A" w:rsidRDefault="00C130CC" w:rsidP="00876643">
            <w:pPr>
              <w:rPr>
                <w:rFonts w:eastAsia="Times New Roman" w:cstheme="minorHAnsi"/>
                <w:color w:val="000000"/>
                <w:lang w:eastAsia="hr-HR"/>
              </w:rPr>
            </w:pPr>
            <w:r>
              <w:rPr>
                <w:rFonts w:eastAsia="Times New Roman" w:cstheme="minorHAnsi"/>
                <w:color w:val="000000"/>
                <w:lang w:eastAsia="hr-HR"/>
              </w:rPr>
              <w:t>€</w:t>
            </w:r>
            <w:r w:rsidR="00CA7247" w:rsidRPr="000B774A">
              <w:rPr>
                <w:rFonts w:eastAsia="Times New Roman" w:cstheme="minorHAnsi"/>
                <w:color w:val="000000"/>
                <w:lang w:eastAsia="hr-HR"/>
              </w:rPr>
              <w:t>/lit varijabilna</w:t>
            </w:r>
            <w:r w:rsidR="00CA7247">
              <w:rPr>
                <w:rFonts w:eastAsia="Times New Roman" w:cstheme="minorHAnsi"/>
                <w:color w:val="000000"/>
                <w:lang w:eastAsia="hr-HR"/>
              </w:rPr>
              <w:t>/kućanstvo</w:t>
            </w:r>
          </w:p>
        </w:tc>
        <w:tc>
          <w:tcPr>
            <w:tcW w:w="1701" w:type="dxa"/>
            <w:noWrap/>
            <w:hideMark/>
          </w:tcPr>
          <w:p w14:paraId="1DBE70E5" w14:textId="77777777" w:rsidR="00CA7247" w:rsidRPr="009E4305" w:rsidRDefault="00CA7247" w:rsidP="0087664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sidRPr="009E4305">
              <w:rPr>
                <w:rFonts w:eastAsia="Times New Roman" w:cstheme="minorHAnsi"/>
                <w:lang w:eastAsia="hr-HR"/>
              </w:rPr>
              <w:t>0,013€</w:t>
            </w:r>
          </w:p>
        </w:tc>
      </w:tr>
      <w:tr w:rsidR="00CA7247" w:rsidRPr="000B774A" w14:paraId="1C16DE4C" w14:textId="77777777" w:rsidTr="00876643">
        <w:trPr>
          <w:trHeight w:val="288"/>
          <w:jc w:val="center"/>
        </w:trPr>
        <w:tc>
          <w:tcPr>
            <w:cnfStyle w:val="001000000000" w:firstRow="0" w:lastRow="0" w:firstColumn="1" w:lastColumn="0" w:oddVBand="0" w:evenVBand="0" w:oddHBand="0" w:evenHBand="0" w:firstRowFirstColumn="0" w:firstRowLastColumn="0" w:lastRowFirstColumn="0" w:lastRowLastColumn="0"/>
            <w:tcW w:w="6941" w:type="dxa"/>
            <w:noWrap/>
          </w:tcPr>
          <w:p w14:paraId="7AFCFF49" w14:textId="07C57AA2" w:rsidR="00CA7247" w:rsidRPr="00E87451" w:rsidRDefault="00C130CC" w:rsidP="00876643">
            <w:pPr>
              <w:rPr>
                <w:rFonts w:eastAsia="Times New Roman" w:cstheme="minorHAnsi"/>
                <w:color w:val="000000"/>
                <w:lang w:val="hr-HR" w:eastAsia="hr-HR"/>
              </w:rPr>
            </w:pPr>
            <w:r>
              <w:rPr>
                <w:rFonts w:eastAsia="Times New Roman" w:cstheme="minorHAnsi"/>
                <w:color w:val="000000"/>
                <w:lang w:val="hr-HR" w:eastAsia="hr-HR"/>
              </w:rPr>
              <w:t>€</w:t>
            </w:r>
            <w:r w:rsidR="00CA7247" w:rsidRPr="00E87451">
              <w:rPr>
                <w:rFonts w:eastAsia="Times New Roman" w:cstheme="minorHAnsi"/>
                <w:color w:val="000000"/>
                <w:lang w:val="hr-HR" w:eastAsia="hr-HR"/>
              </w:rPr>
              <w:t>/lit varijabilna/koji nije</w:t>
            </w:r>
            <w:r w:rsidR="00CA7247">
              <w:rPr>
                <w:rFonts w:eastAsia="Times New Roman" w:cstheme="minorHAnsi"/>
                <w:color w:val="000000"/>
                <w:lang w:val="hr-HR" w:eastAsia="hr-HR"/>
              </w:rPr>
              <w:t xml:space="preserve"> </w:t>
            </w:r>
            <w:r w:rsidR="00CA7247" w:rsidRPr="00E87451">
              <w:rPr>
                <w:rFonts w:eastAsia="Times New Roman" w:cstheme="minorHAnsi"/>
                <w:color w:val="000000"/>
                <w:lang w:val="hr-HR" w:eastAsia="hr-HR"/>
              </w:rPr>
              <w:t>kućanstvo</w:t>
            </w:r>
          </w:p>
        </w:tc>
        <w:tc>
          <w:tcPr>
            <w:tcW w:w="1701" w:type="dxa"/>
            <w:noWrap/>
          </w:tcPr>
          <w:p w14:paraId="56DA9F1C" w14:textId="77777777" w:rsidR="00CA7247" w:rsidRPr="009E4305" w:rsidRDefault="00CA7247" w:rsidP="0087664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hr-HR" w:eastAsia="hr-HR"/>
              </w:rPr>
            </w:pPr>
            <w:r w:rsidRPr="009E4305">
              <w:rPr>
                <w:rFonts w:eastAsia="Times New Roman" w:cstheme="minorHAnsi"/>
                <w:lang w:val="hr-HR" w:eastAsia="hr-HR"/>
              </w:rPr>
              <w:t>0,04€</w:t>
            </w:r>
          </w:p>
        </w:tc>
      </w:tr>
      <w:tr w:rsidR="00CA7247" w:rsidRPr="000B774A" w14:paraId="18A28807" w14:textId="77777777" w:rsidTr="008766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941" w:type="dxa"/>
            <w:noWrap/>
            <w:hideMark/>
          </w:tcPr>
          <w:p w14:paraId="345ADD61" w14:textId="2C362C81" w:rsidR="00CA7247" w:rsidRPr="0033365F" w:rsidRDefault="00CA7247" w:rsidP="00876643">
            <w:pPr>
              <w:rPr>
                <w:rFonts w:eastAsia="Times New Roman" w:cstheme="minorHAnsi"/>
                <w:color w:val="000000"/>
                <w:lang w:val="hr-HR" w:eastAsia="hr-HR"/>
              </w:rPr>
            </w:pPr>
            <w:r w:rsidRPr="0033365F">
              <w:rPr>
                <w:rFonts w:eastAsia="Times New Roman" w:cstheme="minorHAnsi"/>
                <w:color w:val="000000"/>
                <w:lang w:val="hr-HR" w:eastAsia="hr-HR"/>
              </w:rPr>
              <w:t xml:space="preserve">Broj korisnika kategorija kućanstvo </w:t>
            </w:r>
            <w:r>
              <w:rPr>
                <w:rFonts w:cstheme="minorHAnsi"/>
                <w:lang w:val="hr-HR"/>
              </w:rPr>
              <w:t xml:space="preserve"> </w:t>
            </w:r>
            <w:r w:rsidRPr="0033365F">
              <w:rPr>
                <w:rFonts w:cstheme="minorHAnsi"/>
                <w:lang w:val="hr-HR"/>
              </w:rPr>
              <w:t>CMJU</w:t>
            </w:r>
            <w:r>
              <w:rPr>
                <w:rFonts w:cstheme="minorHAnsi"/>
                <w:lang w:val="hr-HR"/>
              </w:rPr>
              <w:t xml:space="preserve"> </w:t>
            </w:r>
          </w:p>
        </w:tc>
        <w:tc>
          <w:tcPr>
            <w:tcW w:w="1701" w:type="dxa"/>
            <w:noWrap/>
          </w:tcPr>
          <w:p w14:paraId="1CEBAEED" w14:textId="0C7A7E86" w:rsidR="00CA7247" w:rsidRPr="00E87451" w:rsidRDefault="00351E63" w:rsidP="0087664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hr-HR" w:eastAsia="hr-HR"/>
              </w:rPr>
            </w:pPr>
            <w:r>
              <w:rPr>
                <w:rFonts w:eastAsia="Times New Roman" w:cstheme="minorHAnsi"/>
                <w:color w:val="000000"/>
                <w:lang w:val="hr-HR" w:eastAsia="hr-HR"/>
              </w:rPr>
              <w:t>2583</w:t>
            </w:r>
          </w:p>
        </w:tc>
      </w:tr>
      <w:tr w:rsidR="00CA7247" w:rsidRPr="000B774A" w14:paraId="55B32233" w14:textId="77777777" w:rsidTr="00876643">
        <w:trPr>
          <w:trHeight w:val="288"/>
          <w:jc w:val="center"/>
        </w:trPr>
        <w:tc>
          <w:tcPr>
            <w:cnfStyle w:val="001000000000" w:firstRow="0" w:lastRow="0" w:firstColumn="1" w:lastColumn="0" w:oddVBand="0" w:evenVBand="0" w:oddHBand="0" w:evenHBand="0" w:firstRowFirstColumn="0" w:firstRowLastColumn="0" w:lastRowFirstColumn="0" w:lastRowLastColumn="0"/>
            <w:tcW w:w="6941" w:type="dxa"/>
            <w:noWrap/>
            <w:hideMark/>
          </w:tcPr>
          <w:p w14:paraId="7EAEE1F6" w14:textId="425796D0" w:rsidR="00CA7247" w:rsidRPr="0033365F" w:rsidRDefault="00CA7247" w:rsidP="00876643">
            <w:pPr>
              <w:rPr>
                <w:rFonts w:eastAsia="Times New Roman" w:cstheme="minorHAnsi"/>
                <w:color w:val="000000"/>
                <w:lang w:val="hr-HR" w:eastAsia="hr-HR"/>
              </w:rPr>
            </w:pPr>
            <w:r w:rsidRPr="0033365F">
              <w:rPr>
                <w:rFonts w:eastAsia="Times New Roman" w:cstheme="minorHAnsi"/>
                <w:color w:val="000000"/>
                <w:lang w:val="hr-HR" w:eastAsia="hr-HR"/>
              </w:rPr>
              <w:t>Broj korisnika iz kategorije koja nije kućanstvo (u redovnom odvozu)</w:t>
            </w:r>
            <w:r>
              <w:rPr>
                <w:rFonts w:eastAsia="Times New Roman" w:cstheme="minorHAnsi"/>
                <w:color w:val="000000"/>
                <w:lang w:val="hr-HR" w:eastAsia="hr-HR"/>
              </w:rPr>
              <w:t xml:space="preserve"> </w:t>
            </w:r>
          </w:p>
        </w:tc>
        <w:tc>
          <w:tcPr>
            <w:tcW w:w="1701" w:type="dxa"/>
            <w:noWrap/>
          </w:tcPr>
          <w:p w14:paraId="161F9C12" w14:textId="634CBBB7" w:rsidR="00CA7247" w:rsidRPr="00E87451" w:rsidRDefault="009E4305" w:rsidP="009E4305">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hr-HR" w:eastAsia="hr-HR"/>
              </w:rPr>
            </w:pPr>
            <w:r>
              <w:rPr>
                <w:rFonts w:eastAsia="Times New Roman" w:cstheme="minorHAnsi"/>
                <w:color w:val="000000"/>
                <w:lang w:val="hr-HR" w:eastAsia="hr-HR"/>
              </w:rPr>
              <w:t>588</w:t>
            </w:r>
          </w:p>
        </w:tc>
      </w:tr>
    </w:tbl>
    <w:p w14:paraId="1F69CB20" w14:textId="77777777" w:rsidR="00CA7247" w:rsidRPr="00462CDB" w:rsidRDefault="00CA7247" w:rsidP="00CA7247">
      <w:pPr>
        <w:spacing w:after="3" w:line="216" w:lineRule="auto"/>
        <w:ind w:left="14" w:right="57"/>
        <w:jc w:val="both"/>
        <w:rPr>
          <w:rFonts w:cstheme="minorHAnsi"/>
        </w:rPr>
      </w:pPr>
    </w:p>
    <w:p w14:paraId="7AB64A57" w14:textId="77777777" w:rsidR="00351E63" w:rsidRDefault="00351E63" w:rsidP="00CA7247">
      <w:pPr>
        <w:spacing w:after="47" w:line="216" w:lineRule="auto"/>
        <w:ind w:right="57"/>
        <w:jc w:val="both"/>
        <w:rPr>
          <w:rFonts w:cstheme="minorHAnsi"/>
          <w:b/>
          <w:bCs/>
        </w:rPr>
      </w:pPr>
    </w:p>
    <w:p w14:paraId="729CCE42" w14:textId="77777777" w:rsidR="00351E63" w:rsidRDefault="00351E63" w:rsidP="00CA7247">
      <w:pPr>
        <w:spacing w:after="47" w:line="216" w:lineRule="auto"/>
        <w:ind w:right="57"/>
        <w:jc w:val="both"/>
        <w:rPr>
          <w:rFonts w:cstheme="minorHAnsi"/>
          <w:b/>
          <w:bCs/>
        </w:rPr>
      </w:pPr>
    </w:p>
    <w:p w14:paraId="47E10751" w14:textId="11CA39D1" w:rsidR="00CA7247" w:rsidRDefault="00CA7247" w:rsidP="00CA7247">
      <w:pPr>
        <w:spacing w:after="47" w:line="216" w:lineRule="auto"/>
        <w:ind w:right="57"/>
        <w:jc w:val="both"/>
        <w:rPr>
          <w:rFonts w:cstheme="minorHAnsi"/>
          <w:b/>
          <w:bCs/>
          <w:color w:val="EE0000"/>
        </w:rPr>
      </w:pPr>
      <w:r w:rsidRPr="004663E2">
        <w:rPr>
          <w:rFonts w:cstheme="minorHAnsi"/>
          <w:b/>
          <w:bCs/>
        </w:rPr>
        <w:t xml:space="preserve">Sukladno </w:t>
      </w:r>
      <w:r w:rsidR="001178A5">
        <w:rPr>
          <w:rFonts w:cstheme="minorHAnsi"/>
          <w:b/>
          <w:bCs/>
        </w:rPr>
        <w:t xml:space="preserve">planu poslovanja za 2026 godinu </w:t>
      </w:r>
      <w:r w:rsidRPr="00351E63">
        <w:rPr>
          <w:rFonts w:cstheme="minorHAnsi"/>
          <w:b/>
          <w:bCs/>
        </w:rPr>
        <w:t>planirani prihodi</w:t>
      </w:r>
      <w:r w:rsidR="00FD6BEB">
        <w:rPr>
          <w:rFonts w:cstheme="minorHAnsi"/>
          <w:b/>
          <w:bCs/>
        </w:rPr>
        <w:t xml:space="preserve"> </w:t>
      </w:r>
      <w:r w:rsidRPr="004663E2">
        <w:rPr>
          <w:rFonts w:cstheme="minorHAnsi"/>
          <w:b/>
          <w:bCs/>
        </w:rPr>
        <w:t>po segmentu poslovanja</w:t>
      </w:r>
      <w:r>
        <w:rPr>
          <w:rFonts w:cstheme="minorHAnsi"/>
          <w:b/>
          <w:bCs/>
        </w:rPr>
        <w:t xml:space="preserve"> odvoz otpada</w:t>
      </w:r>
      <w:r w:rsidRPr="004663E2">
        <w:rPr>
          <w:rFonts w:cstheme="minorHAnsi"/>
          <w:b/>
          <w:bCs/>
        </w:rPr>
        <w:t>:</w:t>
      </w:r>
      <w:r>
        <w:rPr>
          <w:rFonts w:cstheme="minorHAnsi"/>
          <w:b/>
          <w:bCs/>
        </w:rPr>
        <w:t xml:space="preserve"> </w:t>
      </w:r>
    </w:p>
    <w:p w14:paraId="38210E1F" w14:textId="77777777" w:rsidR="008E4962" w:rsidRDefault="008E4962" w:rsidP="00CA7247">
      <w:pPr>
        <w:spacing w:after="47" w:line="216" w:lineRule="auto"/>
        <w:ind w:right="57"/>
        <w:jc w:val="both"/>
        <w:rPr>
          <w:rFonts w:cstheme="minorHAnsi"/>
          <w:b/>
          <w:bCs/>
          <w:color w:val="EE0000"/>
        </w:rPr>
      </w:pPr>
    </w:p>
    <w:p w14:paraId="7544EFF7" w14:textId="422EA15A" w:rsidR="008E4962" w:rsidRPr="008E4962" w:rsidRDefault="008E4962" w:rsidP="00CA7247">
      <w:pPr>
        <w:spacing w:after="47" w:line="216" w:lineRule="auto"/>
        <w:ind w:right="57"/>
        <w:jc w:val="both"/>
        <w:rPr>
          <w:rFonts w:cstheme="minorHAnsi"/>
        </w:rPr>
      </w:pPr>
      <w:r w:rsidRPr="008E4962">
        <w:rPr>
          <w:rFonts w:cstheme="minorHAnsi"/>
        </w:rPr>
        <w:t>Prihod od minimalne javne usluge:</w:t>
      </w:r>
      <w:r w:rsidRPr="008E4962">
        <w:rPr>
          <w:rFonts w:cstheme="minorHAnsi"/>
        </w:rPr>
        <w:tab/>
      </w:r>
      <w:r w:rsidRPr="008E4962">
        <w:rPr>
          <w:rFonts w:cstheme="minorHAnsi"/>
        </w:rPr>
        <w:tab/>
      </w:r>
      <w:r w:rsidRPr="008E4962">
        <w:rPr>
          <w:rFonts w:cstheme="minorHAnsi"/>
        </w:rPr>
        <w:tab/>
      </w:r>
      <w:r w:rsidR="00351E63">
        <w:rPr>
          <w:rFonts w:cstheme="minorHAnsi"/>
        </w:rPr>
        <w:t>380.000,00</w:t>
      </w:r>
      <w:r w:rsidRPr="008E4962">
        <w:rPr>
          <w:rFonts w:cstheme="minorHAnsi"/>
        </w:rPr>
        <w:t xml:space="preserve"> €</w:t>
      </w:r>
    </w:p>
    <w:p w14:paraId="124ED061" w14:textId="4EF6EDE8" w:rsidR="008E4962" w:rsidRPr="008E4962" w:rsidRDefault="008E4962" w:rsidP="00CA7247">
      <w:pPr>
        <w:spacing w:after="47" w:line="216" w:lineRule="auto"/>
        <w:ind w:right="57"/>
        <w:jc w:val="both"/>
        <w:rPr>
          <w:rFonts w:cstheme="minorHAnsi"/>
          <w:u w:val="single"/>
        </w:rPr>
      </w:pPr>
      <w:r w:rsidRPr="008E4962">
        <w:rPr>
          <w:rFonts w:cstheme="minorHAnsi"/>
          <w:u w:val="single"/>
        </w:rPr>
        <w:t>Prihod od predaje miješanog komunalnog otpada:</w:t>
      </w:r>
      <w:r w:rsidRPr="008E4962">
        <w:rPr>
          <w:rFonts w:cstheme="minorHAnsi"/>
          <w:u w:val="single"/>
        </w:rPr>
        <w:tab/>
      </w:r>
      <w:r w:rsidR="00351E63">
        <w:rPr>
          <w:rFonts w:cstheme="minorHAnsi"/>
          <w:u w:val="single"/>
        </w:rPr>
        <w:t>920.000,00</w:t>
      </w:r>
      <w:r w:rsidRPr="008E4962">
        <w:rPr>
          <w:rFonts w:cstheme="minorHAnsi"/>
          <w:u w:val="single"/>
        </w:rPr>
        <w:t xml:space="preserve"> €</w:t>
      </w:r>
    </w:p>
    <w:p w14:paraId="5578AD15" w14:textId="37E87895" w:rsidR="008E4962" w:rsidRDefault="008E4962" w:rsidP="00CA7247">
      <w:pPr>
        <w:spacing w:after="47" w:line="216" w:lineRule="auto"/>
        <w:ind w:right="57"/>
        <w:jc w:val="both"/>
        <w:rPr>
          <w:rFonts w:cstheme="minorHAnsi"/>
        </w:rPr>
      </w:pPr>
      <w:r>
        <w:rPr>
          <w:rFonts w:cstheme="minorHAnsi"/>
        </w:rPr>
        <w:t>Ukupni prihodi:</w:t>
      </w:r>
      <w:r>
        <w:rPr>
          <w:rFonts w:cstheme="minorHAnsi"/>
        </w:rPr>
        <w:tab/>
      </w:r>
      <w:r>
        <w:rPr>
          <w:rFonts w:cstheme="minorHAnsi"/>
        </w:rPr>
        <w:tab/>
      </w:r>
      <w:r>
        <w:rPr>
          <w:rFonts w:cstheme="minorHAnsi"/>
        </w:rPr>
        <w:tab/>
      </w:r>
      <w:r>
        <w:rPr>
          <w:rFonts w:cstheme="minorHAnsi"/>
        </w:rPr>
        <w:tab/>
      </w:r>
      <w:r>
        <w:rPr>
          <w:rFonts w:cstheme="minorHAnsi"/>
        </w:rPr>
        <w:tab/>
        <w:t xml:space="preserve">           </w:t>
      </w:r>
      <w:r w:rsidR="00351E63">
        <w:rPr>
          <w:rFonts w:cstheme="minorHAnsi"/>
        </w:rPr>
        <w:t>1.300.000,00</w:t>
      </w:r>
      <w:r>
        <w:rPr>
          <w:rFonts w:cstheme="minorHAnsi"/>
        </w:rPr>
        <w:t xml:space="preserve"> €</w:t>
      </w:r>
    </w:p>
    <w:p w14:paraId="51A4C5B2" w14:textId="77777777" w:rsidR="009E4305" w:rsidRDefault="009E4305" w:rsidP="00CA7247">
      <w:pPr>
        <w:spacing w:after="47" w:line="216" w:lineRule="auto"/>
        <w:ind w:right="57"/>
        <w:jc w:val="both"/>
        <w:rPr>
          <w:rFonts w:cstheme="minorHAnsi"/>
        </w:rPr>
      </w:pPr>
    </w:p>
    <w:p w14:paraId="12D04EC9" w14:textId="77777777" w:rsidR="009E4305" w:rsidRDefault="009E4305" w:rsidP="00CA7247">
      <w:pPr>
        <w:spacing w:after="47" w:line="216" w:lineRule="auto"/>
        <w:ind w:right="57"/>
        <w:jc w:val="both"/>
        <w:rPr>
          <w:rFonts w:cstheme="minorHAnsi"/>
        </w:rPr>
      </w:pPr>
    </w:p>
    <w:p w14:paraId="185BE686" w14:textId="77777777" w:rsidR="009E4305" w:rsidRDefault="009E4305" w:rsidP="00CA7247">
      <w:pPr>
        <w:spacing w:after="47" w:line="216" w:lineRule="auto"/>
        <w:ind w:right="57"/>
        <w:jc w:val="both"/>
        <w:rPr>
          <w:rFonts w:cstheme="minorHAnsi"/>
        </w:rPr>
      </w:pPr>
    </w:p>
    <w:p w14:paraId="687B58DD" w14:textId="77777777" w:rsidR="009E4305" w:rsidRDefault="009E4305" w:rsidP="00CA7247">
      <w:pPr>
        <w:spacing w:after="47" w:line="216" w:lineRule="auto"/>
        <w:ind w:right="57"/>
        <w:jc w:val="both"/>
        <w:rPr>
          <w:rFonts w:cstheme="minorHAnsi"/>
        </w:rPr>
      </w:pPr>
    </w:p>
    <w:p w14:paraId="0FE8DBD7" w14:textId="77777777" w:rsidR="009E4305" w:rsidRPr="008E4962" w:rsidRDefault="009E4305" w:rsidP="00CA7247">
      <w:pPr>
        <w:spacing w:after="47" w:line="216" w:lineRule="auto"/>
        <w:ind w:right="57"/>
        <w:jc w:val="both"/>
        <w:rPr>
          <w:rFonts w:cstheme="minorHAnsi"/>
        </w:rPr>
      </w:pPr>
    </w:p>
    <w:p w14:paraId="0F5ED062" w14:textId="77777777" w:rsidR="00351E63" w:rsidRDefault="00351E63" w:rsidP="00351E63">
      <w:pPr>
        <w:spacing w:after="47" w:line="216" w:lineRule="auto"/>
        <w:ind w:right="57"/>
        <w:jc w:val="both"/>
        <w:rPr>
          <w:rFonts w:cstheme="minorHAnsi"/>
          <w:b/>
          <w:bCs/>
        </w:rPr>
      </w:pPr>
      <w:r>
        <w:rPr>
          <w:rFonts w:cstheme="minorHAnsi"/>
          <w:b/>
          <w:bCs/>
        </w:rPr>
        <w:t>Cijena javne usluge sakupljanja komunalnog otpada – prema prijedlogu cjenika</w:t>
      </w:r>
    </w:p>
    <w:p w14:paraId="5FB29EBE" w14:textId="77777777" w:rsidR="00CA7247" w:rsidRDefault="00CA7247" w:rsidP="001747AD"/>
    <w:tbl>
      <w:tblPr>
        <w:tblStyle w:val="Reetkatablice"/>
        <w:tblW w:w="0" w:type="auto"/>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1130"/>
        <w:gridCol w:w="1356"/>
        <w:gridCol w:w="1096"/>
        <w:gridCol w:w="1096"/>
        <w:gridCol w:w="1096"/>
        <w:gridCol w:w="1096"/>
        <w:gridCol w:w="1096"/>
        <w:gridCol w:w="1096"/>
      </w:tblGrid>
      <w:tr w:rsidR="00856CA7" w14:paraId="65D70A3F" w14:textId="0527E6B5" w:rsidTr="002C576B">
        <w:tc>
          <w:tcPr>
            <w:tcW w:w="2462" w:type="dxa"/>
            <w:gridSpan w:val="2"/>
            <w:shd w:val="clear" w:color="auto" w:fill="E2EFD9" w:themeFill="accent6" w:themeFillTint="33"/>
          </w:tcPr>
          <w:p w14:paraId="3852D83F" w14:textId="7934C148" w:rsidR="00856CA7" w:rsidRPr="002C576B" w:rsidRDefault="00856CA7" w:rsidP="00856CA7">
            <w:pPr>
              <w:jc w:val="center"/>
              <w:rPr>
                <w:b/>
                <w:bCs/>
              </w:rPr>
            </w:pPr>
            <w:r w:rsidRPr="002C576B">
              <w:rPr>
                <w:b/>
                <w:bCs/>
              </w:rPr>
              <w:t>Kućanstvo</w:t>
            </w:r>
          </w:p>
        </w:tc>
        <w:tc>
          <w:tcPr>
            <w:tcW w:w="1100" w:type="dxa"/>
            <w:vMerge w:val="restart"/>
            <w:shd w:val="clear" w:color="auto" w:fill="E2EFD9" w:themeFill="accent6" w:themeFillTint="33"/>
          </w:tcPr>
          <w:p w14:paraId="77917C81" w14:textId="77777777" w:rsidR="00856CA7" w:rsidRPr="002C576B" w:rsidRDefault="00856CA7" w:rsidP="00856CA7">
            <w:pPr>
              <w:jc w:val="center"/>
              <w:rPr>
                <w:b/>
                <w:bCs/>
              </w:rPr>
            </w:pPr>
          </w:p>
          <w:p w14:paraId="5D3EC918" w14:textId="40DCF435" w:rsidR="00856CA7" w:rsidRPr="002C576B" w:rsidRDefault="00856CA7" w:rsidP="00856CA7">
            <w:pPr>
              <w:jc w:val="center"/>
              <w:rPr>
                <w:b/>
                <w:bCs/>
              </w:rPr>
            </w:pPr>
            <w:r w:rsidRPr="002C576B">
              <w:rPr>
                <w:b/>
                <w:bCs/>
              </w:rPr>
              <w:t>CMJU</w:t>
            </w:r>
          </w:p>
        </w:tc>
        <w:tc>
          <w:tcPr>
            <w:tcW w:w="5500" w:type="dxa"/>
            <w:gridSpan w:val="5"/>
            <w:shd w:val="clear" w:color="auto" w:fill="E2EFD9" w:themeFill="accent6" w:themeFillTint="33"/>
          </w:tcPr>
          <w:p w14:paraId="66CA54F0" w14:textId="3D83BA9A" w:rsidR="00856CA7" w:rsidRPr="002C576B" w:rsidRDefault="00856CA7" w:rsidP="00856CA7">
            <w:pPr>
              <w:jc w:val="center"/>
              <w:rPr>
                <w:b/>
                <w:bCs/>
              </w:rPr>
            </w:pPr>
            <w:r w:rsidRPr="002C576B">
              <w:rPr>
                <w:b/>
                <w:bCs/>
              </w:rPr>
              <w:t>Cijena mjesečne javne usluge</w:t>
            </w:r>
          </w:p>
        </w:tc>
      </w:tr>
      <w:tr w:rsidR="00856CA7" w14:paraId="00BB31C1" w14:textId="7B297B50" w:rsidTr="002C576B">
        <w:tc>
          <w:tcPr>
            <w:tcW w:w="1131" w:type="dxa"/>
            <w:shd w:val="clear" w:color="auto" w:fill="E2EFD9" w:themeFill="accent6" w:themeFillTint="33"/>
            <w:vAlign w:val="center"/>
          </w:tcPr>
          <w:p w14:paraId="05B107EE" w14:textId="7261FD08" w:rsidR="00856CA7" w:rsidRPr="002C576B" w:rsidRDefault="00856CA7" w:rsidP="00856CA7">
            <w:pPr>
              <w:jc w:val="center"/>
              <w:rPr>
                <w:b/>
                <w:bCs/>
              </w:rPr>
            </w:pPr>
            <w:r w:rsidRPr="002C576B">
              <w:rPr>
                <w:b/>
                <w:bCs/>
              </w:rPr>
              <w:t>Spremnik</w:t>
            </w:r>
          </w:p>
        </w:tc>
        <w:tc>
          <w:tcPr>
            <w:tcW w:w="1331" w:type="dxa"/>
            <w:shd w:val="clear" w:color="auto" w:fill="E2EFD9" w:themeFill="accent6" w:themeFillTint="33"/>
          </w:tcPr>
          <w:p w14:paraId="7389DE4B" w14:textId="62340746" w:rsidR="00856CA7" w:rsidRPr="002C576B" w:rsidRDefault="00856CA7" w:rsidP="00856CA7">
            <w:pPr>
              <w:jc w:val="center"/>
              <w:rPr>
                <w:b/>
                <w:bCs/>
              </w:rPr>
            </w:pPr>
            <w:r w:rsidRPr="002C576B">
              <w:rPr>
                <w:b/>
                <w:bCs/>
              </w:rPr>
              <w:t>1x preuzimanje</w:t>
            </w:r>
          </w:p>
        </w:tc>
        <w:tc>
          <w:tcPr>
            <w:tcW w:w="1100" w:type="dxa"/>
            <w:vMerge/>
            <w:shd w:val="clear" w:color="auto" w:fill="E2EFD9" w:themeFill="accent6" w:themeFillTint="33"/>
          </w:tcPr>
          <w:p w14:paraId="0B21E33A" w14:textId="77777777" w:rsidR="00856CA7" w:rsidRPr="002C576B" w:rsidRDefault="00856CA7" w:rsidP="00856CA7">
            <w:pPr>
              <w:jc w:val="center"/>
              <w:rPr>
                <w:b/>
                <w:bCs/>
              </w:rPr>
            </w:pPr>
          </w:p>
        </w:tc>
        <w:tc>
          <w:tcPr>
            <w:tcW w:w="1100" w:type="dxa"/>
            <w:shd w:val="clear" w:color="auto" w:fill="E2EFD9" w:themeFill="accent6" w:themeFillTint="33"/>
            <w:vAlign w:val="center"/>
          </w:tcPr>
          <w:p w14:paraId="2E16E4D7" w14:textId="0C130EB3" w:rsidR="00856CA7" w:rsidRPr="002C576B" w:rsidRDefault="00856CA7" w:rsidP="00856CA7">
            <w:pPr>
              <w:jc w:val="center"/>
              <w:rPr>
                <w:b/>
                <w:bCs/>
              </w:rPr>
            </w:pPr>
            <w:r w:rsidRPr="002C576B">
              <w:rPr>
                <w:b/>
                <w:bCs/>
              </w:rPr>
              <w:t>2 x mj.</w:t>
            </w:r>
          </w:p>
        </w:tc>
        <w:tc>
          <w:tcPr>
            <w:tcW w:w="1100" w:type="dxa"/>
            <w:shd w:val="clear" w:color="auto" w:fill="E2EFD9" w:themeFill="accent6" w:themeFillTint="33"/>
            <w:vAlign w:val="center"/>
          </w:tcPr>
          <w:p w14:paraId="3F55CB7F" w14:textId="10D6506B" w:rsidR="00856CA7" w:rsidRPr="002C576B" w:rsidRDefault="00856CA7" w:rsidP="00856CA7">
            <w:pPr>
              <w:jc w:val="center"/>
              <w:rPr>
                <w:b/>
                <w:bCs/>
              </w:rPr>
            </w:pPr>
            <w:r w:rsidRPr="002C576B">
              <w:rPr>
                <w:b/>
                <w:bCs/>
              </w:rPr>
              <w:t>4 x mj.</w:t>
            </w:r>
          </w:p>
        </w:tc>
        <w:tc>
          <w:tcPr>
            <w:tcW w:w="1100" w:type="dxa"/>
            <w:shd w:val="clear" w:color="auto" w:fill="E2EFD9" w:themeFill="accent6" w:themeFillTint="33"/>
            <w:vAlign w:val="center"/>
          </w:tcPr>
          <w:p w14:paraId="596C943D" w14:textId="18AD3404" w:rsidR="00856CA7" w:rsidRPr="002C576B" w:rsidRDefault="00856CA7" w:rsidP="00856CA7">
            <w:pPr>
              <w:jc w:val="center"/>
              <w:rPr>
                <w:b/>
                <w:bCs/>
              </w:rPr>
            </w:pPr>
            <w:r w:rsidRPr="002C576B">
              <w:rPr>
                <w:b/>
                <w:bCs/>
              </w:rPr>
              <w:t>8 x mj.</w:t>
            </w:r>
          </w:p>
        </w:tc>
        <w:tc>
          <w:tcPr>
            <w:tcW w:w="1100" w:type="dxa"/>
            <w:shd w:val="clear" w:color="auto" w:fill="E2EFD9" w:themeFill="accent6" w:themeFillTint="33"/>
            <w:vAlign w:val="center"/>
          </w:tcPr>
          <w:p w14:paraId="357FBE7B" w14:textId="5DA51F6F" w:rsidR="00856CA7" w:rsidRPr="002C576B" w:rsidRDefault="00856CA7" w:rsidP="00856CA7">
            <w:pPr>
              <w:jc w:val="center"/>
              <w:rPr>
                <w:b/>
                <w:bCs/>
              </w:rPr>
            </w:pPr>
            <w:r w:rsidRPr="002C576B">
              <w:rPr>
                <w:b/>
                <w:bCs/>
              </w:rPr>
              <w:t>12 x mj.</w:t>
            </w:r>
          </w:p>
        </w:tc>
        <w:tc>
          <w:tcPr>
            <w:tcW w:w="1100" w:type="dxa"/>
            <w:shd w:val="clear" w:color="auto" w:fill="E2EFD9" w:themeFill="accent6" w:themeFillTint="33"/>
            <w:vAlign w:val="center"/>
          </w:tcPr>
          <w:p w14:paraId="016C9D22" w14:textId="3D980CEE" w:rsidR="00856CA7" w:rsidRPr="002C576B" w:rsidRDefault="00856CA7" w:rsidP="00856CA7">
            <w:pPr>
              <w:jc w:val="center"/>
              <w:rPr>
                <w:b/>
                <w:bCs/>
              </w:rPr>
            </w:pPr>
            <w:r w:rsidRPr="002C576B">
              <w:rPr>
                <w:b/>
                <w:bCs/>
              </w:rPr>
              <w:t>20 x mj.</w:t>
            </w:r>
          </w:p>
        </w:tc>
      </w:tr>
      <w:tr w:rsidR="00856CA7" w14:paraId="55F70E27" w14:textId="3ED4D893" w:rsidTr="002C576B">
        <w:tc>
          <w:tcPr>
            <w:tcW w:w="1131" w:type="dxa"/>
          </w:tcPr>
          <w:p w14:paraId="28706E04" w14:textId="7D4B46B9" w:rsidR="00856CA7" w:rsidRDefault="00856CA7" w:rsidP="00856CA7">
            <w:pPr>
              <w:jc w:val="center"/>
            </w:pPr>
            <w:r>
              <w:t>80 l</w:t>
            </w:r>
          </w:p>
        </w:tc>
        <w:tc>
          <w:tcPr>
            <w:tcW w:w="1331" w:type="dxa"/>
          </w:tcPr>
          <w:p w14:paraId="7C394C11" w14:textId="0B9BBE83" w:rsidR="00856CA7" w:rsidRDefault="00856CA7" w:rsidP="00856CA7">
            <w:pPr>
              <w:jc w:val="center"/>
            </w:pPr>
            <w:r>
              <w:t>1,06 €</w:t>
            </w:r>
          </w:p>
        </w:tc>
        <w:tc>
          <w:tcPr>
            <w:tcW w:w="1100" w:type="dxa"/>
          </w:tcPr>
          <w:p w14:paraId="3D2831DB" w14:textId="17B11E58" w:rsidR="00856CA7" w:rsidRDefault="00856CA7" w:rsidP="00856CA7">
            <w:pPr>
              <w:jc w:val="center"/>
            </w:pPr>
            <w:r>
              <w:t>11,60 €</w:t>
            </w:r>
          </w:p>
        </w:tc>
        <w:tc>
          <w:tcPr>
            <w:tcW w:w="1100" w:type="dxa"/>
          </w:tcPr>
          <w:p w14:paraId="4A0D8296" w14:textId="28854716" w:rsidR="00856CA7" w:rsidRDefault="00856CA7" w:rsidP="00856CA7">
            <w:pPr>
              <w:jc w:val="center"/>
            </w:pPr>
            <w:r>
              <w:t>13,72 €</w:t>
            </w:r>
          </w:p>
        </w:tc>
        <w:tc>
          <w:tcPr>
            <w:tcW w:w="1100" w:type="dxa"/>
          </w:tcPr>
          <w:p w14:paraId="0357A124" w14:textId="6999AEEF" w:rsidR="00856CA7" w:rsidRDefault="00856CA7" w:rsidP="00856CA7">
            <w:pPr>
              <w:jc w:val="center"/>
            </w:pPr>
            <w:r>
              <w:t>15,84 €</w:t>
            </w:r>
          </w:p>
        </w:tc>
        <w:tc>
          <w:tcPr>
            <w:tcW w:w="1100" w:type="dxa"/>
          </w:tcPr>
          <w:p w14:paraId="53CDA417" w14:textId="1B406155" w:rsidR="00856CA7" w:rsidRDefault="00856CA7" w:rsidP="00856CA7">
            <w:pPr>
              <w:jc w:val="center"/>
            </w:pPr>
            <w:r>
              <w:t>20,08 €</w:t>
            </w:r>
          </w:p>
        </w:tc>
        <w:tc>
          <w:tcPr>
            <w:tcW w:w="1100" w:type="dxa"/>
          </w:tcPr>
          <w:p w14:paraId="131CE12C" w14:textId="752BA649" w:rsidR="00856CA7" w:rsidRDefault="00856CA7" w:rsidP="00856CA7">
            <w:pPr>
              <w:jc w:val="center"/>
            </w:pPr>
            <w:r>
              <w:t>24,32 €</w:t>
            </w:r>
          </w:p>
        </w:tc>
        <w:tc>
          <w:tcPr>
            <w:tcW w:w="1100" w:type="dxa"/>
          </w:tcPr>
          <w:p w14:paraId="0685543A" w14:textId="74D25212" w:rsidR="00856CA7" w:rsidRDefault="00856CA7" w:rsidP="00856CA7">
            <w:pPr>
              <w:jc w:val="center"/>
            </w:pPr>
            <w:r>
              <w:t>32,80 €</w:t>
            </w:r>
          </w:p>
        </w:tc>
      </w:tr>
    </w:tbl>
    <w:p w14:paraId="4881D7BC" w14:textId="77777777" w:rsidR="00351E63" w:rsidRDefault="00351E63" w:rsidP="001747AD"/>
    <w:tbl>
      <w:tblPr>
        <w:tblStyle w:val="Reetkatablice"/>
        <w:tblW w:w="0" w:type="auto"/>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1130"/>
        <w:gridCol w:w="1356"/>
        <w:gridCol w:w="1096"/>
        <w:gridCol w:w="1096"/>
        <w:gridCol w:w="1096"/>
        <w:gridCol w:w="1096"/>
        <w:gridCol w:w="1096"/>
        <w:gridCol w:w="1096"/>
      </w:tblGrid>
      <w:tr w:rsidR="00856CA7" w14:paraId="29B7A2D0" w14:textId="77777777" w:rsidTr="002C576B">
        <w:tc>
          <w:tcPr>
            <w:tcW w:w="2462" w:type="dxa"/>
            <w:gridSpan w:val="2"/>
            <w:shd w:val="clear" w:color="auto" w:fill="E2EFD9" w:themeFill="accent6" w:themeFillTint="33"/>
          </w:tcPr>
          <w:p w14:paraId="52759DF4" w14:textId="4C3B9146" w:rsidR="00856CA7" w:rsidRPr="002C576B" w:rsidRDefault="00856CA7" w:rsidP="00A147C9">
            <w:pPr>
              <w:jc w:val="center"/>
              <w:rPr>
                <w:b/>
                <w:bCs/>
              </w:rPr>
            </w:pPr>
            <w:r w:rsidRPr="002C576B">
              <w:rPr>
                <w:b/>
                <w:bCs/>
              </w:rPr>
              <w:t>Ne kućanstvo</w:t>
            </w:r>
          </w:p>
        </w:tc>
        <w:tc>
          <w:tcPr>
            <w:tcW w:w="1100" w:type="dxa"/>
            <w:vMerge w:val="restart"/>
            <w:shd w:val="clear" w:color="auto" w:fill="E2EFD9" w:themeFill="accent6" w:themeFillTint="33"/>
          </w:tcPr>
          <w:p w14:paraId="05397E7F" w14:textId="77777777" w:rsidR="00856CA7" w:rsidRPr="002C576B" w:rsidRDefault="00856CA7" w:rsidP="00A147C9">
            <w:pPr>
              <w:jc w:val="center"/>
              <w:rPr>
                <w:b/>
                <w:bCs/>
              </w:rPr>
            </w:pPr>
          </w:p>
          <w:p w14:paraId="09B69459" w14:textId="77777777" w:rsidR="00856CA7" w:rsidRPr="002C576B" w:rsidRDefault="00856CA7" w:rsidP="00A147C9">
            <w:pPr>
              <w:jc w:val="center"/>
              <w:rPr>
                <w:b/>
                <w:bCs/>
              </w:rPr>
            </w:pPr>
            <w:r w:rsidRPr="002C576B">
              <w:rPr>
                <w:b/>
                <w:bCs/>
              </w:rPr>
              <w:t>CMJU</w:t>
            </w:r>
          </w:p>
        </w:tc>
        <w:tc>
          <w:tcPr>
            <w:tcW w:w="5500" w:type="dxa"/>
            <w:gridSpan w:val="5"/>
            <w:shd w:val="clear" w:color="auto" w:fill="E2EFD9" w:themeFill="accent6" w:themeFillTint="33"/>
          </w:tcPr>
          <w:p w14:paraId="3C65D560" w14:textId="77777777" w:rsidR="00856CA7" w:rsidRPr="002C576B" w:rsidRDefault="00856CA7" w:rsidP="00A147C9">
            <w:pPr>
              <w:jc w:val="center"/>
              <w:rPr>
                <w:b/>
                <w:bCs/>
              </w:rPr>
            </w:pPr>
            <w:r w:rsidRPr="002C576B">
              <w:rPr>
                <w:b/>
                <w:bCs/>
              </w:rPr>
              <w:t>Cijena mjesečne javne usluge</w:t>
            </w:r>
          </w:p>
        </w:tc>
      </w:tr>
      <w:tr w:rsidR="00856CA7" w14:paraId="67EA4F5B" w14:textId="77777777" w:rsidTr="002C576B">
        <w:tc>
          <w:tcPr>
            <w:tcW w:w="1131" w:type="dxa"/>
            <w:shd w:val="clear" w:color="auto" w:fill="E2EFD9" w:themeFill="accent6" w:themeFillTint="33"/>
            <w:vAlign w:val="center"/>
          </w:tcPr>
          <w:p w14:paraId="04EDBE5D" w14:textId="77777777" w:rsidR="00856CA7" w:rsidRPr="002C576B" w:rsidRDefault="00856CA7" w:rsidP="00A147C9">
            <w:pPr>
              <w:jc w:val="center"/>
              <w:rPr>
                <w:b/>
                <w:bCs/>
              </w:rPr>
            </w:pPr>
            <w:r w:rsidRPr="002C576B">
              <w:rPr>
                <w:b/>
                <w:bCs/>
              </w:rPr>
              <w:t>Spremnik</w:t>
            </w:r>
          </w:p>
        </w:tc>
        <w:tc>
          <w:tcPr>
            <w:tcW w:w="1331" w:type="dxa"/>
            <w:shd w:val="clear" w:color="auto" w:fill="E2EFD9" w:themeFill="accent6" w:themeFillTint="33"/>
          </w:tcPr>
          <w:p w14:paraId="2FAC9D20" w14:textId="77777777" w:rsidR="00856CA7" w:rsidRPr="002C576B" w:rsidRDefault="00856CA7" w:rsidP="00A147C9">
            <w:pPr>
              <w:jc w:val="center"/>
              <w:rPr>
                <w:b/>
                <w:bCs/>
              </w:rPr>
            </w:pPr>
            <w:r w:rsidRPr="002C576B">
              <w:rPr>
                <w:b/>
                <w:bCs/>
              </w:rPr>
              <w:t>1x preuzimanje</w:t>
            </w:r>
          </w:p>
        </w:tc>
        <w:tc>
          <w:tcPr>
            <w:tcW w:w="1100" w:type="dxa"/>
            <w:vMerge/>
            <w:shd w:val="clear" w:color="auto" w:fill="E2EFD9" w:themeFill="accent6" w:themeFillTint="33"/>
          </w:tcPr>
          <w:p w14:paraId="0C1495F7" w14:textId="77777777" w:rsidR="00856CA7" w:rsidRPr="002C576B" w:rsidRDefault="00856CA7" w:rsidP="00A147C9">
            <w:pPr>
              <w:jc w:val="center"/>
              <w:rPr>
                <w:b/>
                <w:bCs/>
              </w:rPr>
            </w:pPr>
          </w:p>
        </w:tc>
        <w:tc>
          <w:tcPr>
            <w:tcW w:w="1100" w:type="dxa"/>
            <w:shd w:val="clear" w:color="auto" w:fill="E2EFD9" w:themeFill="accent6" w:themeFillTint="33"/>
            <w:vAlign w:val="center"/>
          </w:tcPr>
          <w:p w14:paraId="0CC9E732" w14:textId="77777777" w:rsidR="00856CA7" w:rsidRPr="002C576B" w:rsidRDefault="00856CA7" w:rsidP="00A147C9">
            <w:pPr>
              <w:jc w:val="center"/>
              <w:rPr>
                <w:b/>
                <w:bCs/>
              </w:rPr>
            </w:pPr>
            <w:r w:rsidRPr="002C576B">
              <w:rPr>
                <w:b/>
                <w:bCs/>
              </w:rPr>
              <w:t>2 x mj.</w:t>
            </w:r>
          </w:p>
        </w:tc>
        <w:tc>
          <w:tcPr>
            <w:tcW w:w="1100" w:type="dxa"/>
            <w:shd w:val="clear" w:color="auto" w:fill="E2EFD9" w:themeFill="accent6" w:themeFillTint="33"/>
            <w:vAlign w:val="center"/>
          </w:tcPr>
          <w:p w14:paraId="38B72110" w14:textId="77777777" w:rsidR="00856CA7" w:rsidRPr="002C576B" w:rsidRDefault="00856CA7" w:rsidP="00A147C9">
            <w:pPr>
              <w:jc w:val="center"/>
              <w:rPr>
                <w:b/>
                <w:bCs/>
              </w:rPr>
            </w:pPr>
            <w:r w:rsidRPr="002C576B">
              <w:rPr>
                <w:b/>
                <w:bCs/>
              </w:rPr>
              <w:t>4 x mj.</w:t>
            </w:r>
          </w:p>
        </w:tc>
        <w:tc>
          <w:tcPr>
            <w:tcW w:w="1100" w:type="dxa"/>
            <w:shd w:val="clear" w:color="auto" w:fill="E2EFD9" w:themeFill="accent6" w:themeFillTint="33"/>
            <w:vAlign w:val="center"/>
          </w:tcPr>
          <w:p w14:paraId="647C299E" w14:textId="77777777" w:rsidR="00856CA7" w:rsidRPr="002C576B" w:rsidRDefault="00856CA7" w:rsidP="00A147C9">
            <w:pPr>
              <w:jc w:val="center"/>
              <w:rPr>
                <w:b/>
                <w:bCs/>
              </w:rPr>
            </w:pPr>
            <w:r w:rsidRPr="002C576B">
              <w:rPr>
                <w:b/>
                <w:bCs/>
              </w:rPr>
              <w:t>8 x mj.</w:t>
            </w:r>
          </w:p>
        </w:tc>
        <w:tc>
          <w:tcPr>
            <w:tcW w:w="1100" w:type="dxa"/>
            <w:shd w:val="clear" w:color="auto" w:fill="E2EFD9" w:themeFill="accent6" w:themeFillTint="33"/>
            <w:vAlign w:val="center"/>
          </w:tcPr>
          <w:p w14:paraId="0A558531" w14:textId="77777777" w:rsidR="00856CA7" w:rsidRPr="002C576B" w:rsidRDefault="00856CA7" w:rsidP="00A147C9">
            <w:pPr>
              <w:jc w:val="center"/>
              <w:rPr>
                <w:b/>
                <w:bCs/>
              </w:rPr>
            </w:pPr>
            <w:r w:rsidRPr="002C576B">
              <w:rPr>
                <w:b/>
                <w:bCs/>
              </w:rPr>
              <w:t>12 x mj.</w:t>
            </w:r>
          </w:p>
        </w:tc>
        <w:tc>
          <w:tcPr>
            <w:tcW w:w="1100" w:type="dxa"/>
            <w:shd w:val="clear" w:color="auto" w:fill="E2EFD9" w:themeFill="accent6" w:themeFillTint="33"/>
            <w:vAlign w:val="center"/>
          </w:tcPr>
          <w:p w14:paraId="0DE366C5" w14:textId="77777777" w:rsidR="00856CA7" w:rsidRPr="002C576B" w:rsidRDefault="00856CA7" w:rsidP="00A147C9">
            <w:pPr>
              <w:jc w:val="center"/>
              <w:rPr>
                <w:b/>
                <w:bCs/>
              </w:rPr>
            </w:pPr>
            <w:r w:rsidRPr="002C576B">
              <w:rPr>
                <w:b/>
                <w:bCs/>
              </w:rPr>
              <w:t>20 x mj.</w:t>
            </w:r>
          </w:p>
        </w:tc>
      </w:tr>
      <w:tr w:rsidR="00856CA7" w14:paraId="231E78BA" w14:textId="77777777" w:rsidTr="002C576B">
        <w:tc>
          <w:tcPr>
            <w:tcW w:w="1131" w:type="dxa"/>
          </w:tcPr>
          <w:p w14:paraId="22F35451" w14:textId="77777777" w:rsidR="00856CA7" w:rsidRDefault="00856CA7" w:rsidP="00A147C9">
            <w:pPr>
              <w:jc w:val="center"/>
            </w:pPr>
            <w:r>
              <w:t>80 l</w:t>
            </w:r>
          </w:p>
        </w:tc>
        <w:tc>
          <w:tcPr>
            <w:tcW w:w="1331" w:type="dxa"/>
          </w:tcPr>
          <w:p w14:paraId="6BF65D5F" w14:textId="1FA67C7E" w:rsidR="00856CA7" w:rsidRDefault="00856CA7" w:rsidP="00A147C9">
            <w:pPr>
              <w:jc w:val="center"/>
            </w:pPr>
            <w:r>
              <w:t>3,19 €</w:t>
            </w:r>
          </w:p>
        </w:tc>
        <w:tc>
          <w:tcPr>
            <w:tcW w:w="1100" w:type="dxa"/>
          </w:tcPr>
          <w:p w14:paraId="6568FD52" w14:textId="3E1BB98A" w:rsidR="00856CA7" w:rsidRDefault="00856CA7" w:rsidP="00A147C9">
            <w:pPr>
              <w:jc w:val="center"/>
            </w:pPr>
            <w:r>
              <w:t>16,56 €</w:t>
            </w:r>
          </w:p>
        </w:tc>
        <w:tc>
          <w:tcPr>
            <w:tcW w:w="1100" w:type="dxa"/>
          </w:tcPr>
          <w:p w14:paraId="07CB1DB7" w14:textId="4A7C38FB" w:rsidR="00856CA7" w:rsidRDefault="00856CA7" w:rsidP="00A147C9">
            <w:pPr>
              <w:jc w:val="center"/>
            </w:pPr>
            <w:r>
              <w:t>22,94 €</w:t>
            </w:r>
          </w:p>
        </w:tc>
        <w:tc>
          <w:tcPr>
            <w:tcW w:w="1100" w:type="dxa"/>
          </w:tcPr>
          <w:p w14:paraId="163FB0AD" w14:textId="53E278AF" w:rsidR="00856CA7" w:rsidRDefault="00856CA7" w:rsidP="00A147C9">
            <w:pPr>
              <w:jc w:val="center"/>
            </w:pPr>
            <w:r>
              <w:t>29,32 €</w:t>
            </w:r>
          </w:p>
        </w:tc>
        <w:tc>
          <w:tcPr>
            <w:tcW w:w="1100" w:type="dxa"/>
          </w:tcPr>
          <w:p w14:paraId="2469A35B" w14:textId="3DD96ADA" w:rsidR="00856CA7" w:rsidRDefault="00856CA7" w:rsidP="00A147C9">
            <w:pPr>
              <w:jc w:val="center"/>
            </w:pPr>
            <w:r>
              <w:t>42,08 €</w:t>
            </w:r>
          </w:p>
        </w:tc>
        <w:tc>
          <w:tcPr>
            <w:tcW w:w="1100" w:type="dxa"/>
          </w:tcPr>
          <w:p w14:paraId="03ACB0FB" w14:textId="1B436538" w:rsidR="00856CA7" w:rsidRDefault="00856CA7" w:rsidP="00A147C9">
            <w:pPr>
              <w:jc w:val="center"/>
            </w:pPr>
            <w:r>
              <w:t>54,84 €</w:t>
            </w:r>
          </w:p>
        </w:tc>
        <w:tc>
          <w:tcPr>
            <w:tcW w:w="1100" w:type="dxa"/>
          </w:tcPr>
          <w:p w14:paraId="130E3546" w14:textId="4DA30DD7" w:rsidR="00856CA7" w:rsidRDefault="00856CA7" w:rsidP="00A147C9">
            <w:pPr>
              <w:jc w:val="center"/>
            </w:pPr>
            <w:r>
              <w:t>80,36 €</w:t>
            </w:r>
          </w:p>
        </w:tc>
      </w:tr>
    </w:tbl>
    <w:p w14:paraId="56172381" w14:textId="77777777" w:rsidR="002C576B" w:rsidRDefault="002C576B" w:rsidP="002C576B">
      <w:pPr>
        <w:pStyle w:val="Odlomakpopisa"/>
      </w:pPr>
      <w:r>
        <w:tab/>
      </w:r>
      <w:r>
        <w:tab/>
      </w:r>
      <w:r>
        <w:tab/>
      </w:r>
      <w:r>
        <w:tab/>
      </w:r>
      <w:r>
        <w:tab/>
      </w:r>
      <w:r>
        <w:tab/>
      </w:r>
    </w:p>
    <w:p w14:paraId="66FEA7BB" w14:textId="78B59D35" w:rsidR="00856CA7" w:rsidRDefault="002C576B" w:rsidP="002C576B">
      <w:pPr>
        <w:pStyle w:val="Odlomakpopisa"/>
        <w:ind w:left="5676"/>
      </w:pPr>
      <w:r>
        <w:t xml:space="preserve">     Sve cijene iskazane su bez PDV-a</w:t>
      </w:r>
    </w:p>
    <w:p w14:paraId="0AD56A5A" w14:textId="77777777" w:rsidR="002C576B" w:rsidRDefault="002C576B" w:rsidP="001747AD">
      <w:pPr>
        <w:rPr>
          <w:b/>
          <w:bCs/>
        </w:rPr>
      </w:pPr>
    </w:p>
    <w:p w14:paraId="28E982B8" w14:textId="09AB4727" w:rsidR="001178A5" w:rsidRDefault="001178A5" w:rsidP="001747AD">
      <w:pPr>
        <w:rPr>
          <w:b/>
          <w:bCs/>
        </w:rPr>
      </w:pPr>
      <w:r>
        <w:rPr>
          <w:b/>
          <w:bCs/>
        </w:rPr>
        <w:t>Planirani prihodi po novom cjeniku</w:t>
      </w:r>
    </w:p>
    <w:p w14:paraId="5F716F6E" w14:textId="23237641" w:rsidR="001178A5" w:rsidRPr="001178A5" w:rsidRDefault="001178A5" w:rsidP="001747AD">
      <w:r w:rsidRPr="001178A5">
        <w:t>Minimalna javna usluga korisnika kućanstvo:</w:t>
      </w:r>
    </w:p>
    <w:p w14:paraId="19656F54" w14:textId="519F765F" w:rsidR="001178A5" w:rsidRPr="001178A5" w:rsidRDefault="001178A5" w:rsidP="001747AD">
      <w:r w:rsidRPr="001178A5">
        <w:t xml:space="preserve">2583 korisnika kućanstvo x 12 mjeseci x 11,60 € = </w:t>
      </w:r>
      <w:r w:rsidRPr="001178A5">
        <w:tab/>
        <w:t>359.553,60 €</w:t>
      </w:r>
    </w:p>
    <w:p w14:paraId="3370F8A9" w14:textId="2FBA463A" w:rsidR="001178A5" w:rsidRPr="001178A5" w:rsidRDefault="001178A5" w:rsidP="001747AD">
      <w:pPr>
        <w:rPr>
          <w:u w:val="single"/>
        </w:rPr>
      </w:pPr>
      <w:r w:rsidRPr="001178A5">
        <w:rPr>
          <w:u w:val="single"/>
        </w:rPr>
        <w:t>588 korisnika ne kućanstvo x 12 mjeseci x 16,56 € =</w:t>
      </w:r>
      <w:r w:rsidRPr="001178A5">
        <w:rPr>
          <w:u w:val="single"/>
        </w:rPr>
        <w:tab/>
        <w:t xml:space="preserve"> 116.847,36 €</w:t>
      </w:r>
    </w:p>
    <w:p w14:paraId="05EC0968" w14:textId="61B47A69" w:rsidR="001178A5" w:rsidRPr="001178A5" w:rsidRDefault="001178A5" w:rsidP="001747AD">
      <w:r w:rsidRPr="001178A5">
        <w:t>Ukupni prihodi od minimalne javne usluge</w:t>
      </w:r>
      <w:r w:rsidRPr="001178A5">
        <w:tab/>
      </w:r>
      <w:r w:rsidRPr="001178A5">
        <w:tab/>
        <w:t>476.400,96 €</w:t>
      </w:r>
      <w:r w:rsidRPr="001178A5">
        <w:tab/>
      </w:r>
    </w:p>
    <w:p w14:paraId="59F59C47" w14:textId="4A4A517F" w:rsidR="001178A5" w:rsidRDefault="001178A5" w:rsidP="001747AD"/>
    <w:p w14:paraId="6987A644" w14:textId="6273FA96" w:rsidR="001178A5" w:rsidRPr="008E4962" w:rsidRDefault="001178A5" w:rsidP="001178A5">
      <w:pPr>
        <w:spacing w:after="47" w:line="216" w:lineRule="auto"/>
        <w:ind w:right="57"/>
        <w:jc w:val="both"/>
        <w:rPr>
          <w:rFonts w:cstheme="minorHAnsi"/>
        </w:rPr>
      </w:pPr>
      <w:r w:rsidRPr="008E4962">
        <w:rPr>
          <w:rFonts w:cstheme="minorHAnsi"/>
        </w:rPr>
        <w:t>Prihod od minimalne javne usluge:</w:t>
      </w:r>
      <w:r w:rsidRPr="008E4962">
        <w:rPr>
          <w:rFonts w:cstheme="minorHAnsi"/>
        </w:rPr>
        <w:tab/>
      </w:r>
      <w:r w:rsidRPr="008E4962">
        <w:rPr>
          <w:rFonts w:cstheme="minorHAnsi"/>
        </w:rPr>
        <w:tab/>
      </w:r>
      <w:r w:rsidRPr="008E4962">
        <w:rPr>
          <w:rFonts w:cstheme="minorHAnsi"/>
        </w:rPr>
        <w:tab/>
      </w:r>
      <w:r>
        <w:rPr>
          <w:rFonts w:cstheme="minorHAnsi"/>
        </w:rPr>
        <w:t>476.400,96</w:t>
      </w:r>
      <w:r w:rsidRPr="008E4962">
        <w:rPr>
          <w:rFonts w:cstheme="minorHAnsi"/>
        </w:rPr>
        <w:t xml:space="preserve"> €</w:t>
      </w:r>
    </w:p>
    <w:p w14:paraId="14027D2F" w14:textId="77777777" w:rsidR="001178A5" w:rsidRPr="008E4962" w:rsidRDefault="001178A5" w:rsidP="001178A5">
      <w:pPr>
        <w:spacing w:after="47" w:line="216" w:lineRule="auto"/>
        <w:ind w:right="57"/>
        <w:jc w:val="both"/>
        <w:rPr>
          <w:rFonts w:cstheme="minorHAnsi"/>
          <w:u w:val="single"/>
        </w:rPr>
      </w:pPr>
      <w:r w:rsidRPr="008E4962">
        <w:rPr>
          <w:rFonts w:cstheme="minorHAnsi"/>
          <w:u w:val="single"/>
        </w:rPr>
        <w:t>Prihod od predaje miješanog komunalnog otpada:</w:t>
      </w:r>
      <w:r w:rsidRPr="008E4962">
        <w:rPr>
          <w:rFonts w:cstheme="minorHAnsi"/>
          <w:u w:val="single"/>
        </w:rPr>
        <w:tab/>
      </w:r>
      <w:r>
        <w:rPr>
          <w:rFonts w:cstheme="minorHAnsi"/>
          <w:u w:val="single"/>
        </w:rPr>
        <w:t>920.000,00</w:t>
      </w:r>
      <w:r w:rsidRPr="008E4962">
        <w:rPr>
          <w:rFonts w:cstheme="minorHAnsi"/>
          <w:u w:val="single"/>
        </w:rPr>
        <w:t xml:space="preserve"> €</w:t>
      </w:r>
    </w:p>
    <w:p w14:paraId="3E893EEE" w14:textId="23EAD15F" w:rsidR="001178A5" w:rsidRPr="008E4962" w:rsidRDefault="001178A5" w:rsidP="001178A5">
      <w:pPr>
        <w:spacing w:after="47" w:line="216" w:lineRule="auto"/>
        <w:ind w:right="57"/>
        <w:jc w:val="both"/>
        <w:rPr>
          <w:rFonts w:cstheme="minorHAnsi"/>
        </w:rPr>
      </w:pPr>
      <w:r>
        <w:rPr>
          <w:rFonts w:cstheme="minorHAnsi"/>
        </w:rPr>
        <w:t>Ukupni prihodi:</w:t>
      </w:r>
      <w:r>
        <w:rPr>
          <w:rFonts w:cstheme="minorHAnsi"/>
        </w:rPr>
        <w:tab/>
      </w:r>
      <w:r>
        <w:rPr>
          <w:rFonts w:cstheme="minorHAnsi"/>
        </w:rPr>
        <w:tab/>
      </w:r>
      <w:r>
        <w:rPr>
          <w:rFonts w:cstheme="minorHAnsi"/>
        </w:rPr>
        <w:tab/>
      </w:r>
      <w:r>
        <w:rPr>
          <w:rFonts w:cstheme="minorHAnsi"/>
        </w:rPr>
        <w:tab/>
      </w:r>
      <w:r>
        <w:rPr>
          <w:rFonts w:cstheme="minorHAnsi"/>
        </w:rPr>
        <w:tab/>
        <w:t xml:space="preserve">           1.396.400,96 €</w:t>
      </w:r>
    </w:p>
    <w:p w14:paraId="5250BE9F" w14:textId="77777777" w:rsidR="001178A5" w:rsidRDefault="001178A5" w:rsidP="001747AD"/>
    <w:p w14:paraId="58DF656D" w14:textId="0A830E79" w:rsidR="00CA7247" w:rsidRDefault="00CA7247" w:rsidP="00CA7247">
      <w:pPr>
        <w:spacing w:after="3" w:line="276" w:lineRule="auto"/>
        <w:ind w:right="57"/>
        <w:jc w:val="both"/>
        <w:rPr>
          <w:rFonts w:cstheme="minorHAnsi"/>
        </w:rPr>
      </w:pPr>
      <w:r>
        <w:rPr>
          <w:rFonts w:cstheme="minorHAnsi"/>
        </w:rPr>
        <w:t xml:space="preserve">Usporedba </w:t>
      </w:r>
      <w:r w:rsidR="001178A5">
        <w:rPr>
          <w:rFonts w:cstheme="minorHAnsi"/>
        </w:rPr>
        <w:t xml:space="preserve">planiranih </w:t>
      </w:r>
      <w:r>
        <w:rPr>
          <w:rFonts w:cstheme="minorHAnsi"/>
        </w:rPr>
        <w:t xml:space="preserve">prihoda novog i starog cjenika govori kako su novo planirani prihodi veći za ukupno </w:t>
      </w:r>
      <w:r w:rsidR="001178A5">
        <w:rPr>
          <w:rFonts w:cstheme="minorHAnsi"/>
        </w:rPr>
        <w:t>96.400,96</w:t>
      </w:r>
      <w:r w:rsidRPr="00287FC8">
        <w:rPr>
          <w:rFonts w:cstheme="minorHAnsi"/>
        </w:rPr>
        <w:t xml:space="preserve"> eura</w:t>
      </w:r>
      <w:r w:rsidR="001178A5">
        <w:rPr>
          <w:rFonts w:cstheme="minorHAnsi"/>
        </w:rPr>
        <w:t>,</w:t>
      </w:r>
      <w:r w:rsidRPr="00287FC8">
        <w:rPr>
          <w:rFonts w:cstheme="minorHAnsi"/>
        </w:rPr>
        <w:t xml:space="preserve"> odnosno </w:t>
      </w:r>
      <w:r w:rsidR="001178A5">
        <w:rPr>
          <w:rFonts w:cstheme="minorHAnsi"/>
        </w:rPr>
        <w:t>za 7,41</w:t>
      </w:r>
      <w:r w:rsidRPr="00287FC8">
        <w:rPr>
          <w:rFonts w:cstheme="minorHAnsi"/>
        </w:rPr>
        <w:t>%.</w:t>
      </w:r>
      <w:r>
        <w:rPr>
          <w:rFonts w:cstheme="minorHAnsi"/>
        </w:rPr>
        <w:t xml:space="preserve">  </w:t>
      </w:r>
    </w:p>
    <w:p w14:paraId="0D42F2A6" w14:textId="77777777" w:rsidR="00CA7247" w:rsidRDefault="00CA7247" w:rsidP="00CA7247">
      <w:pPr>
        <w:spacing w:after="3" w:line="216" w:lineRule="auto"/>
        <w:ind w:right="57"/>
        <w:jc w:val="both"/>
        <w:rPr>
          <w:rFonts w:asciiTheme="majorHAnsi" w:hAnsiTheme="majorHAnsi" w:cstheme="majorHAnsi"/>
        </w:rPr>
      </w:pPr>
    </w:p>
    <w:p w14:paraId="74A53799" w14:textId="77777777" w:rsidR="009E4305" w:rsidRDefault="009E4305" w:rsidP="00CA7247">
      <w:pPr>
        <w:spacing w:after="3" w:line="216" w:lineRule="auto"/>
        <w:ind w:right="57"/>
        <w:jc w:val="both"/>
        <w:rPr>
          <w:rFonts w:asciiTheme="majorHAnsi" w:hAnsiTheme="majorHAnsi" w:cstheme="majorHAnsi"/>
        </w:rPr>
      </w:pPr>
    </w:p>
    <w:p w14:paraId="605DEAF1" w14:textId="77777777" w:rsidR="009E4305" w:rsidRDefault="009E4305" w:rsidP="00CA7247">
      <w:pPr>
        <w:spacing w:after="3" w:line="216" w:lineRule="auto"/>
        <w:ind w:right="57"/>
        <w:jc w:val="both"/>
        <w:rPr>
          <w:rFonts w:asciiTheme="majorHAnsi" w:hAnsiTheme="majorHAnsi" w:cstheme="majorHAnsi"/>
        </w:rPr>
      </w:pPr>
    </w:p>
    <w:p w14:paraId="5AF0B635" w14:textId="77777777" w:rsidR="009E4305" w:rsidRDefault="009E4305" w:rsidP="00CA7247">
      <w:pPr>
        <w:spacing w:after="3" w:line="216" w:lineRule="auto"/>
        <w:ind w:right="57"/>
        <w:jc w:val="both"/>
        <w:rPr>
          <w:rFonts w:asciiTheme="majorHAnsi" w:hAnsiTheme="majorHAnsi" w:cstheme="majorHAnsi"/>
        </w:rPr>
      </w:pPr>
    </w:p>
    <w:p w14:paraId="6F67CC07" w14:textId="77777777" w:rsidR="009E4305" w:rsidRDefault="009E4305" w:rsidP="00CA7247">
      <w:pPr>
        <w:spacing w:after="3" w:line="216" w:lineRule="auto"/>
        <w:ind w:right="57"/>
        <w:jc w:val="both"/>
        <w:rPr>
          <w:rFonts w:asciiTheme="majorHAnsi" w:hAnsiTheme="majorHAnsi" w:cstheme="majorHAnsi"/>
        </w:rPr>
      </w:pPr>
    </w:p>
    <w:p w14:paraId="4E86AE6A" w14:textId="77777777" w:rsidR="009E4305" w:rsidRDefault="009E4305" w:rsidP="00CA7247">
      <w:pPr>
        <w:spacing w:after="3" w:line="216" w:lineRule="auto"/>
        <w:ind w:right="57"/>
        <w:jc w:val="both"/>
        <w:rPr>
          <w:rFonts w:asciiTheme="majorHAnsi" w:hAnsiTheme="majorHAnsi" w:cstheme="majorHAnsi"/>
        </w:rPr>
      </w:pPr>
    </w:p>
    <w:p w14:paraId="231F758E" w14:textId="77777777" w:rsidR="009E4305" w:rsidRDefault="009E4305" w:rsidP="00CA7247">
      <w:pPr>
        <w:spacing w:after="3" w:line="216" w:lineRule="auto"/>
        <w:ind w:right="57"/>
        <w:jc w:val="both"/>
        <w:rPr>
          <w:rFonts w:asciiTheme="majorHAnsi" w:hAnsiTheme="majorHAnsi" w:cstheme="majorHAnsi"/>
        </w:rPr>
      </w:pPr>
    </w:p>
    <w:p w14:paraId="1BC86BF3" w14:textId="77777777" w:rsidR="009E4305" w:rsidRDefault="009E4305" w:rsidP="00CA7247">
      <w:pPr>
        <w:spacing w:after="3" w:line="216" w:lineRule="auto"/>
        <w:ind w:right="57"/>
        <w:jc w:val="both"/>
        <w:rPr>
          <w:rFonts w:asciiTheme="majorHAnsi" w:hAnsiTheme="majorHAnsi" w:cstheme="majorHAnsi"/>
        </w:rPr>
      </w:pPr>
    </w:p>
    <w:p w14:paraId="652E2CD0" w14:textId="77777777" w:rsidR="009E4305" w:rsidRDefault="009E4305" w:rsidP="00CA7247">
      <w:pPr>
        <w:spacing w:after="3" w:line="216" w:lineRule="auto"/>
        <w:ind w:right="57"/>
        <w:jc w:val="both"/>
        <w:rPr>
          <w:rFonts w:asciiTheme="majorHAnsi" w:hAnsiTheme="majorHAnsi" w:cstheme="majorHAnsi"/>
        </w:rPr>
      </w:pPr>
    </w:p>
    <w:p w14:paraId="63ECE087" w14:textId="77777777" w:rsidR="009E4305" w:rsidRDefault="009E4305" w:rsidP="00CA7247">
      <w:pPr>
        <w:spacing w:after="3" w:line="216" w:lineRule="auto"/>
        <w:ind w:right="57"/>
        <w:jc w:val="both"/>
        <w:rPr>
          <w:rFonts w:asciiTheme="majorHAnsi" w:hAnsiTheme="majorHAnsi" w:cstheme="majorHAnsi"/>
        </w:rPr>
      </w:pPr>
    </w:p>
    <w:p w14:paraId="5A71DB21" w14:textId="77777777" w:rsidR="009E4305" w:rsidRDefault="009E4305" w:rsidP="00CA7247">
      <w:pPr>
        <w:spacing w:after="3" w:line="216" w:lineRule="auto"/>
        <w:ind w:right="57"/>
        <w:jc w:val="both"/>
        <w:rPr>
          <w:rFonts w:asciiTheme="majorHAnsi" w:hAnsiTheme="majorHAnsi" w:cstheme="majorHAnsi"/>
        </w:rPr>
      </w:pPr>
    </w:p>
    <w:p w14:paraId="0B7D4CD4" w14:textId="77777777" w:rsidR="009E4305" w:rsidRDefault="009E4305" w:rsidP="00CA7247">
      <w:pPr>
        <w:spacing w:after="3" w:line="216" w:lineRule="auto"/>
        <w:ind w:right="57"/>
        <w:jc w:val="both"/>
        <w:rPr>
          <w:rFonts w:asciiTheme="majorHAnsi" w:hAnsiTheme="majorHAnsi" w:cstheme="majorHAnsi"/>
        </w:rPr>
      </w:pPr>
    </w:p>
    <w:p w14:paraId="51069B40" w14:textId="77777777" w:rsidR="009E4305" w:rsidRDefault="009E4305" w:rsidP="00CA7247">
      <w:pPr>
        <w:spacing w:after="3" w:line="216" w:lineRule="auto"/>
        <w:ind w:right="57"/>
        <w:jc w:val="both"/>
        <w:rPr>
          <w:rFonts w:asciiTheme="majorHAnsi" w:hAnsiTheme="majorHAnsi" w:cstheme="majorHAnsi"/>
        </w:rPr>
      </w:pPr>
    </w:p>
    <w:p w14:paraId="5C637AEF" w14:textId="77777777" w:rsidR="00CA7247" w:rsidRDefault="00CA7247" w:rsidP="00CA7247">
      <w:pPr>
        <w:spacing w:after="3" w:line="216" w:lineRule="auto"/>
        <w:ind w:right="57"/>
        <w:jc w:val="both"/>
        <w:rPr>
          <w:rFonts w:asciiTheme="majorHAnsi" w:hAnsiTheme="majorHAnsi" w:cstheme="majorHAnsi"/>
        </w:rPr>
      </w:pPr>
    </w:p>
    <w:p w14:paraId="6F6FF83D" w14:textId="77777777" w:rsidR="00CA7247" w:rsidRDefault="00CA7247" w:rsidP="00CA7247">
      <w:pPr>
        <w:pStyle w:val="Naslov1"/>
      </w:pPr>
      <w:bookmarkStart w:id="10" w:name="_Toc183423654"/>
      <w:r>
        <w:lastRenderedPageBreak/>
        <w:t>P</w:t>
      </w:r>
      <w:r w:rsidRPr="00E61497">
        <w:t>rocjena iznosa prosječnog računa sukladno prijedlogu cjenika, koji bi korisnik usluge bio dužan platiti davatelju usluge u obračunskom razdoblju prema odabranom kriteriju obračuna količine otpada</w:t>
      </w:r>
      <w:bookmarkEnd w:id="10"/>
    </w:p>
    <w:p w14:paraId="35933F10" w14:textId="77777777" w:rsidR="00CA7247" w:rsidRDefault="00CA7247" w:rsidP="00CA7247">
      <w:pPr>
        <w:spacing w:after="3" w:line="216" w:lineRule="auto"/>
        <w:ind w:right="57"/>
        <w:jc w:val="both"/>
        <w:rPr>
          <w:rFonts w:cstheme="minorHAnsi"/>
          <w:b/>
          <w:bCs/>
        </w:rPr>
      </w:pPr>
    </w:p>
    <w:p w14:paraId="6CE708E0" w14:textId="77777777" w:rsidR="00CA7247" w:rsidRDefault="00CA7247" w:rsidP="00CA7247">
      <w:pPr>
        <w:pStyle w:val="Naslov2"/>
      </w:pPr>
      <w:bookmarkStart w:id="11" w:name="_Toc183423655"/>
      <w:r>
        <w:t>P</w:t>
      </w:r>
      <w:r w:rsidRPr="005F793B">
        <w:t>rocjen</w:t>
      </w:r>
      <w:r>
        <w:t>a</w:t>
      </w:r>
      <w:r w:rsidRPr="005F793B">
        <w:t xml:space="preserve"> iznosa prosječnog računa i p</w:t>
      </w:r>
      <w:r w:rsidRPr="00E61497">
        <w:t>odatak o postotku promjene cijene</w:t>
      </w:r>
      <w:bookmarkEnd w:id="11"/>
      <w:r w:rsidRPr="00E61497">
        <w:t xml:space="preserve"> </w:t>
      </w:r>
    </w:p>
    <w:p w14:paraId="2E20476B" w14:textId="77777777" w:rsidR="002C576B" w:rsidRPr="002C576B" w:rsidRDefault="002C576B" w:rsidP="002C576B"/>
    <w:p w14:paraId="764C5ED3" w14:textId="77777777" w:rsidR="00CA7247" w:rsidRPr="000B22E1" w:rsidRDefault="00CA7247" w:rsidP="00CA7247">
      <w:pPr>
        <w:pStyle w:val="Naslov3"/>
      </w:pPr>
      <w:bookmarkStart w:id="12" w:name="_Toc183423656"/>
      <w:r>
        <w:t>Korisnici iz kategorije kućanstvo</w:t>
      </w:r>
      <w:bookmarkEnd w:id="12"/>
    </w:p>
    <w:p w14:paraId="6ADEC2C1" w14:textId="77777777" w:rsidR="00CA7247" w:rsidRDefault="00CA7247" w:rsidP="00CA7247">
      <w:pPr>
        <w:spacing w:after="3" w:line="216" w:lineRule="auto"/>
        <w:ind w:left="14" w:right="57"/>
        <w:jc w:val="both"/>
        <w:rPr>
          <w:rFonts w:cstheme="minorHAnsi"/>
          <w:b/>
          <w:bCs/>
        </w:rPr>
      </w:pPr>
    </w:p>
    <w:p w14:paraId="7EE25AEC" w14:textId="04156A47" w:rsidR="00CA7247" w:rsidRDefault="00CA7247" w:rsidP="00CA7247">
      <w:pPr>
        <w:spacing w:after="3" w:line="216" w:lineRule="auto"/>
        <w:ind w:left="14" w:right="57"/>
        <w:jc w:val="both"/>
        <w:rPr>
          <w:rFonts w:cstheme="minorHAnsi"/>
          <w:b/>
          <w:bCs/>
        </w:rPr>
      </w:pPr>
      <w:r w:rsidRPr="00287FC8">
        <w:rPr>
          <w:rFonts w:cstheme="minorHAnsi"/>
          <w:b/>
          <w:bCs/>
        </w:rPr>
        <w:t>Ukupni iznos računa za korisnike iz kategorije kućanstvo za 1 odvoz mjesečno</w:t>
      </w:r>
    </w:p>
    <w:p w14:paraId="4CC716D4" w14:textId="77777777" w:rsidR="00CA7247" w:rsidRDefault="00CA7247" w:rsidP="00CA7247">
      <w:pPr>
        <w:spacing w:after="3" w:line="216" w:lineRule="auto"/>
        <w:ind w:left="14" w:right="57"/>
        <w:jc w:val="both"/>
        <w:rPr>
          <w:rFonts w:cstheme="minorHAnsi"/>
          <w:b/>
          <w:bCs/>
        </w:rPr>
      </w:pPr>
    </w:p>
    <w:tbl>
      <w:tblPr>
        <w:tblW w:w="7508" w:type="dxa"/>
        <w:jc w:val="center"/>
        <w:tblLook w:val="04A0" w:firstRow="1" w:lastRow="0" w:firstColumn="1" w:lastColumn="0" w:noHBand="0" w:noVBand="1"/>
      </w:tblPr>
      <w:tblGrid>
        <w:gridCol w:w="3396"/>
        <w:gridCol w:w="1414"/>
        <w:gridCol w:w="142"/>
        <w:gridCol w:w="1368"/>
        <w:gridCol w:w="452"/>
        <w:gridCol w:w="736"/>
      </w:tblGrid>
      <w:tr w:rsidR="00CA7247" w:rsidRPr="00462CDB" w14:paraId="71DAD8F3" w14:textId="77777777" w:rsidTr="00876643">
        <w:trPr>
          <w:trHeight w:val="937"/>
          <w:jc w:val="center"/>
        </w:trPr>
        <w:tc>
          <w:tcPr>
            <w:tcW w:w="3396" w:type="dxa"/>
            <w:tcBorders>
              <w:top w:val="single" w:sz="8" w:space="0" w:color="70AD47"/>
              <w:left w:val="single" w:sz="8" w:space="0" w:color="70AD47"/>
              <w:bottom w:val="single" w:sz="8" w:space="0" w:color="70AD47"/>
              <w:right w:val="nil"/>
            </w:tcBorders>
            <w:shd w:val="clear" w:color="000000" w:fill="70AD47"/>
            <w:noWrap/>
            <w:vAlign w:val="center"/>
            <w:hideMark/>
          </w:tcPr>
          <w:p w14:paraId="0CC3B00A" w14:textId="77777777" w:rsidR="00CA7247" w:rsidRPr="00462CDB" w:rsidRDefault="00CA7247" w:rsidP="00876643">
            <w:pPr>
              <w:spacing w:after="0" w:line="240" w:lineRule="auto"/>
              <w:rPr>
                <w:rFonts w:eastAsia="Times New Roman" w:cstheme="minorHAnsi"/>
                <w:b/>
                <w:bCs/>
                <w:color w:val="000000"/>
                <w:sz w:val="20"/>
                <w:szCs w:val="20"/>
                <w:lang w:eastAsia="hr-HR"/>
              </w:rPr>
            </w:pPr>
            <w:r w:rsidRPr="00462CDB">
              <w:rPr>
                <w:rFonts w:eastAsia="Times New Roman" w:cstheme="minorHAnsi"/>
                <w:b/>
                <w:bCs/>
                <w:color w:val="000000"/>
                <w:sz w:val="20"/>
                <w:szCs w:val="20"/>
                <w:lang w:eastAsia="hr-HR"/>
              </w:rPr>
              <w:t xml:space="preserve"> Kategorija korisnika (ukupni iznos računa </w:t>
            </w:r>
            <w:r>
              <w:rPr>
                <w:rFonts w:eastAsia="Times New Roman" w:cstheme="minorHAnsi"/>
                <w:b/>
                <w:bCs/>
                <w:color w:val="000000"/>
                <w:sz w:val="20"/>
                <w:szCs w:val="20"/>
                <w:lang w:eastAsia="hr-HR"/>
              </w:rPr>
              <w:t>sa</w:t>
            </w:r>
            <w:r w:rsidRPr="00462CDB">
              <w:rPr>
                <w:rFonts w:eastAsia="Times New Roman" w:cstheme="minorHAnsi"/>
                <w:b/>
                <w:bCs/>
                <w:color w:val="000000"/>
                <w:sz w:val="20"/>
                <w:szCs w:val="20"/>
                <w:lang w:eastAsia="hr-HR"/>
              </w:rPr>
              <w:t xml:space="preserve"> PDV)</w:t>
            </w:r>
          </w:p>
        </w:tc>
        <w:tc>
          <w:tcPr>
            <w:tcW w:w="1414" w:type="dxa"/>
            <w:tcBorders>
              <w:top w:val="single" w:sz="8" w:space="0" w:color="70AD47"/>
              <w:left w:val="nil"/>
              <w:bottom w:val="single" w:sz="8" w:space="0" w:color="70AD47"/>
              <w:right w:val="nil"/>
            </w:tcBorders>
            <w:shd w:val="clear" w:color="000000" w:fill="70AD47"/>
            <w:noWrap/>
            <w:vAlign w:val="center"/>
            <w:hideMark/>
          </w:tcPr>
          <w:p w14:paraId="4A452E1F" w14:textId="77777777" w:rsidR="00CA7247" w:rsidRPr="00462CDB" w:rsidRDefault="00CA7247" w:rsidP="00876643">
            <w:pPr>
              <w:spacing w:after="0" w:line="240" w:lineRule="auto"/>
              <w:rPr>
                <w:rFonts w:eastAsia="Times New Roman" w:cstheme="minorHAnsi"/>
                <w:b/>
                <w:bCs/>
                <w:color w:val="000000"/>
                <w:sz w:val="20"/>
                <w:szCs w:val="20"/>
                <w:lang w:eastAsia="hr-HR"/>
              </w:rPr>
            </w:pPr>
            <w:r>
              <w:rPr>
                <w:rFonts w:eastAsia="Times New Roman" w:cstheme="minorHAnsi"/>
                <w:b/>
                <w:bCs/>
                <w:color w:val="000000"/>
                <w:sz w:val="20"/>
                <w:szCs w:val="20"/>
                <w:lang w:eastAsia="hr-HR"/>
              </w:rPr>
              <w:t xml:space="preserve">Nova cijena </w:t>
            </w:r>
            <w:r w:rsidRPr="00462CDB">
              <w:rPr>
                <w:rFonts w:eastAsia="Times New Roman" w:cstheme="minorHAnsi"/>
                <w:b/>
                <w:bCs/>
                <w:color w:val="000000"/>
                <w:sz w:val="20"/>
                <w:szCs w:val="20"/>
                <w:lang w:eastAsia="hr-HR"/>
              </w:rPr>
              <w:t xml:space="preserve">CMJU i </w:t>
            </w:r>
            <w:r>
              <w:rPr>
                <w:rFonts w:eastAsia="Times New Roman" w:cstheme="minorHAnsi"/>
                <w:b/>
                <w:bCs/>
                <w:color w:val="000000"/>
                <w:sz w:val="20"/>
                <w:szCs w:val="20"/>
                <w:lang w:eastAsia="hr-HR"/>
              </w:rPr>
              <w:t>1</w:t>
            </w:r>
            <w:r w:rsidRPr="00462CDB">
              <w:rPr>
                <w:rFonts w:eastAsia="Times New Roman" w:cstheme="minorHAnsi"/>
                <w:b/>
                <w:bCs/>
                <w:color w:val="000000"/>
                <w:sz w:val="20"/>
                <w:szCs w:val="20"/>
                <w:lang w:eastAsia="hr-HR"/>
              </w:rPr>
              <w:t xml:space="preserve"> odvoza mjesečno</w:t>
            </w:r>
          </w:p>
        </w:tc>
        <w:tc>
          <w:tcPr>
            <w:tcW w:w="1510" w:type="dxa"/>
            <w:gridSpan w:val="2"/>
            <w:tcBorders>
              <w:top w:val="single" w:sz="8" w:space="0" w:color="70AD47"/>
              <w:left w:val="nil"/>
              <w:bottom w:val="single" w:sz="8" w:space="0" w:color="70AD47"/>
              <w:right w:val="nil"/>
            </w:tcBorders>
            <w:shd w:val="clear" w:color="000000" w:fill="70AD47"/>
            <w:noWrap/>
            <w:vAlign w:val="center"/>
            <w:hideMark/>
          </w:tcPr>
          <w:p w14:paraId="5B0747D5" w14:textId="77777777" w:rsidR="00CA7247" w:rsidRPr="00462CDB" w:rsidRDefault="00CA7247" w:rsidP="00876643">
            <w:pPr>
              <w:spacing w:after="0" w:line="240" w:lineRule="auto"/>
              <w:rPr>
                <w:rFonts w:eastAsia="Times New Roman" w:cstheme="minorHAnsi"/>
                <w:b/>
                <w:bCs/>
                <w:color w:val="000000"/>
                <w:sz w:val="20"/>
                <w:szCs w:val="20"/>
                <w:lang w:eastAsia="hr-HR"/>
              </w:rPr>
            </w:pPr>
            <w:r w:rsidRPr="00462CDB">
              <w:rPr>
                <w:rFonts w:eastAsia="Times New Roman" w:cstheme="minorHAnsi"/>
                <w:b/>
                <w:bCs/>
                <w:color w:val="000000"/>
                <w:sz w:val="20"/>
                <w:szCs w:val="20"/>
                <w:lang w:eastAsia="hr-HR"/>
              </w:rPr>
              <w:t>Stara cijena</w:t>
            </w:r>
          </w:p>
        </w:tc>
        <w:tc>
          <w:tcPr>
            <w:tcW w:w="1188" w:type="dxa"/>
            <w:gridSpan w:val="2"/>
            <w:tcBorders>
              <w:top w:val="single" w:sz="8" w:space="0" w:color="70AD47"/>
              <w:left w:val="nil"/>
              <w:bottom w:val="single" w:sz="8" w:space="0" w:color="70AD47"/>
              <w:right w:val="nil"/>
            </w:tcBorders>
            <w:shd w:val="clear" w:color="000000" w:fill="70AD47"/>
            <w:noWrap/>
            <w:vAlign w:val="center"/>
            <w:hideMark/>
          </w:tcPr>
          <w:p w14:paraId="415B97C9" w14:textId="77777777" w:rsidR="00CA7247" w:rsidRPr="00462CDB" w:rsidRDefault="00CA7247" w:rsidP="00876643">
            <w:pPr>
              <w:spacing w:after="0" w:line="240" w:lineRule="auto"/>
              <w:rPr>
                <w:rFonts w:eastAsia="Times New Roman" w:cstheme="minorHAnsi"/>
                <w:b/>
                <w:bCs/>
                <w:color w:val="000000"/>
                <w:sz w:val="20"/>
                <w:szCs w:val="20"/>
                <w:lang w:eastAsia="hr-HR"/>
              </w:rPr>
            </w:pPr>
          </w:p>
        </w:tc>
      </w:tr>
      <w:tr w:rsidR="00CA7247" w:rsidRPr="00BD0DA2" w14:paraId="041B577C" w14:textId="77777777" w:rsidTr="00876643">
        <w:trPr>
          <w:trHeight w:val="259"/>
          <w:jc w:val="center"/>
        </w:trPr>
        <w:tc>
          <w:tcPr>
            <w:tcW w:w="3396" w:type="dxa"/>
            <w:tcBorders>
              <w:top w:val="nil"/>
              <w:left w:val="single" w:sz="8" w:space="0" w:color="A8D08D"/>
              <w:bottom w:val="single" w:sz="8" w:space="0" w:color="A8D08D"/>
              <w:right w:val="single" w:sz="8" w:space="0" w:color="A8D08D"/>
            </w:tcBorders>
            <w:shd w:val="clear" w:color="000000" w:fill="E2EFD9"/>
            <w:vAlign w:val="center"/>
            <w:hideMark/>
          </w:tcPr>
          <w:p w14:paraId="73C1E7CC" w14:textId="77777777" w:rsidR="00CA7247" w:rsidRPr="00462CDB" w:rsidRDefault="00CA7247" w:rsidP="00876643">
            <w:pPr>
              <w:spacing w:after="0" w:line="240" w:lineRule="auto"/>
              <w:rPr>
                <w:rFonts w:eastAsia="Times New Roman" w:cstheme="minorHAnsi"/>
                <w:b/>
                <w:bCs/>
                <w:color w:val="000000"/>
                <w:sz w:val="20"/>
                <w:szCs w:val="20"/>
                <w:lang w:eastAsia="hr-HR"/>
              </w:rPr>
            </w:pPr>
            <w:r w:rsidRPr="00462CDB">
              <w:rPr>
                <w:rFonts w:eastAsia="Times New Roman" w:cstheme="minorHAnsi"/>
                <w:b/>
                <w:bCs/>
                <w:color w:val="000000"/>
                <w:sz w:val="20"/>
                <w:szCs w:val="20"/>
                <w:lang w:eastAsia="hr-HR"/>
              </w:rPr>
              <w:t xml:space="preserve">Spremnik </w:t>
            </w:r>
            <w:r>
              <w:rPr>
                <w:rFonts w:eastAsia="Times New Roman" w:cstheme="minorHAnsi"/>
                <w:b/>
                <w:bCs/>
                <w:color w:val="000000"/>
                <w:sz w:val="20"/>
                <w:szCs w:val="20"/>
                <w:lang w:eastAsia="hr-HR"/>
              </w:rPr>
              <w:t>80</w:t>
            </w:r>
            <w:r w:rsidRPr="00462CDB">
              <w:rPr>
                <w:rFonts w:eastAsia="Times New Roman" w:cstheme="minorHAnsi"/>
                <w:b/>
                <w:bCs/>
                <w:color w:val="000000"/>
                <w:sz w:val="20"/>
                <w:szCs w:val="20"/>
                <w:lang w:eastAsia="hr-HR"/>
              </w:rPr>
              <w:t xml:space="preserve"> litara</w:t>
            </w:r>
          </w:p>
        </w:tc>
        <w:tc>
          <w:tcPr>
            <w:tcW w:w="1556" w:type="dxa"/>
            <w:gridSpan w:val="2"/>
            <w:tcBorders>
              <w:top w:val="nil"/>
              <w:left w:val="nil"/>
              <w:bottom w:val="single" w:sz="8" w:space="0" w:color="A8D08D"/>
              <w:right w:val="single" w:sz="8" w:space="0" w:color="A8D08D"/>
            </w:tcBorders>
            <w:shd w:val="clear" w:color="000000" w:fill="E2EFD9"/>
            <w:noWrap/>
            <w:vAlign w:val="center"/>
          </w:tcPr>
          <w:p w14:paraId="70E67152" w14:textId="17DE947F" w:rsidR="00CA7247" w:rsidRPr="00CC45AE" w:rsidRDefault="00FD6BEB" w:rsidP="00876643">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14,31</w:t>
            </w:r>
            <w:r w:rsidR="00CA7247">
              <w:rPr>
                <w:rFonts w:eastAsia="Times New Roman" w:cstheme="minorHAnsi"/>
                <w:color w:val="000000"/>
                <w:sz w:val="20"/>
                <w:szCs w:val="20"/>
                <w:lang w:eastAsia="hr-HR"/>
              </w:rPr>
              <w:t xml:space="preserve"> €</w:t>
            </w:r>
          </w:p>
        </w:tc>
        <w:tc>
          <w:tcPr>
            <w:tcW w:w="1820" w:type="dxa"/>
            <w:gridSpan w:val="2"/>
            <w:tcBorders>
              <w:top w:val="nil"/>
              <w:left w:val="nil"/>
              <w:bottom w:val="single" w:sz="8" w:space="0" w:color="A8D08D"/>
              <w:right w:val="single" w:sz="8" w:space="0" w:color="A8D08D"/>
            </w:tcBorders>
            <w:shd w:val="clear" w:color="000000" w:fill="E2EFD9"/>
            <w:noWrap/>
            <w:vAlign w:val="center"/>
          </w:tcPr>
          <w:p w14:paraId="53964C80" w14:textId="604E44DB" w:rsidR="00CA7247" w:rsidRPr="00CC45AE" w:rsidRDefault="00FD6BEB" w:rsidP="00876643">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11,28</w:t>
            </w:r>
            <w:r w:rsidR="00CA7247">
              <w:rPr>
                <w:rFonts w:eastAsia="Times New Roman" w:cstheme="minorHAnsi"/>
                <w:color w:val="000000"/>
                <w:sz w:val="20"/>
                <w:szCs w:val="20"/>
                <w:lang w:eastAsia="hr-HR"/>
              </w:rPr>
              <w:t xml:space="preserve"> €</w:t>
            </w:r>
          </w:p>
        </w:tc>
        <w:tc>
          <w:tcPr>
            <w:tcW w:w="736" w:type="dxa"/>
            <w:tcBorders>
              <w:top w:val="nil"/>
              <w:left w:val="nil"/>
              <w:bottom w:val="single" w:sz="8" w:space="0" w:color="A8D08D"/>
              <w:right w:val="single" w:sz="8" w:space="0" w:color="A8D08D"/>
            </w:tcBorders>
            <w:shd w:val="clear" w:color="000000" w:fill="E2EFD9"/>
            <w:noWrap/>
          </w:tcPr>
          <w:p w14:paraId="4801B220" w14:textId="77777777" w:rsidR="00CA7247" w:rsidRPr="00CC45AE" w:rsidRDefault="00CA7247" w:rsidP="00876643">
            <w:pPr>
              <w:spacing w:after="0" w:line="240" w:lineRule="auto"/>
              <w:jc w:val="right"/>
              <w:rPr>
                <w:rFonts w:eastAsia="Times New Roman" w:cstheme="minorHAnsi"/>
                <w:color w:val="000000"/>
                <w:sz w:val="20"/>
                <w:szCs w:val="20"/>
                <w:lang w:eastAsia="hr-HR"/>
              </w:rPr>
            </w:pPr>
          </w:p>
        </w:tc>
      </w:tr>
    </w:tbl>
    <w:p w14:paraId="27F7EC11" w14:textId="77777777" w:rsidR="00CA7247" w:rsidRDefault="00CA7247" w:rsidP="00CA7247">
      <w:pPr>
        <w:spacing w:after="3" w:line="216" w:lineRule="auto"/>
        <w:ind w:left="14" w:right="57"/>
        <w:jc w:val="both"/>
        <w:rPr>
          <w:rFonts w:cstheme="minorHAnsi"/>
          <w:b/>
          <w:bCs/>
        </w:rPr>
      </w:pPr>
    </w:p>
    <w:p w14:paraId="6D280E9B" w14:textId="77777777" w:rsidR="00CA7247" w:rsidRDefault="00CA7247" w:rsidP="00CA7247">
      <w:pPr>
        <w:spacing w:after="3" w:line="216" w:lineRule="auto"/>
        <w:ind w:left="14" w:right="57"/>
        <w:jc w:val="both"/>
        <w:rPr>
          <w:rFonts w:cstheme="minorHAnsi"/>
          <w:b/>
          <w:bCs/>
        </w:rPr>
      </w:pPr>
      <w:r>
        <w:rPr>
          <w:rFonts w:cstheme="minorHAnsi"/>
          <w:b/>
          <w:bCs/>
        </w:rPr>
        <w:t>Korisnici koji ne koriste uslugu predaje miješanog komunalnog otpada u obračunskom razdoblju, plaćaju samo CMJU.</w:t>
      </w:r>
    </w:p>
    <w:p w14:paraId="34C5469F" w14:textId="77777777" w:rsidR="00CA7247" w:rsidRDefault="00CA7247" w:rsidP="00CA7247">
      <w:pPr>
        <w:spacing w:after="3" w:line="216" w:lineRule="auto"/>
        <w:ind w:left="14" w:right="57"/>
        <w:jc w:val="both"/>
        <w:rPr>
          <w:rFonts w:cstheme="minorHAnsi"/>
        </w:rPr>
      </w:pPr>
    </w:p>
    <w:p w14:paraId="0F331469" w14:textId="77777777" w:rsidR="00CA7247" w:rsidRDefault="00CA7247" w:rsidP="00CA7247">
      <w:pPr>
        <w:spacing w:after="3" w:line="216" w:lineRule="auto"/>
        <w:ind w:left="14" w:right="57"/>
        <w:jc w:val="both"/>
        <w:rPr>
          <w:rFonts w:cstheme="minorHAnsi"/>
        </w:rPr>
      </w:pPr>
      <w:r w:rsidRPr="004C4947">
        <w:rPr>
          <w:rFonts w:cstheme="minorHAnsi"/>
        </w:rPr>
        <w:t xml:space="preserve">Očekivani broj predaja miješanog komunalnog otpada </w:t>
      </w:r>
      <w:r>
        <w:rPr>
          <w:rFonts w:cstheme="minorHAnsi"/>
        </w:rPr>
        <w:t>uspostavom</w:t>
      </w:r>
      <w:r w:rsidRPr="004C4947">
        <w:rPr>
          <w:rFonts w:cstheme="minorHAnsi"/>
        </w:rPr>
        <w:t xml:space="preserve"> primjene novog sustava gospodarenja otpadom </w:t>
      </w:r>
      <w:r w:rsidRPr="00993DB0">
        <w:rPr>
          <w:rFonts w:cstheme="minorHAnsi"/>
        </w:rPr>
        <w:t>iznosi 1,8</w:t>
      </w:r>
      <w:r w:rsidRPr="004C4947">
        <w:rPr>
          <w:rFonts w:cstheme="minorHAnsi"/>
        </w:rPr>
        <w:t xml:space="preserve"> predaja mjesečno, te je u skladu s time izrađena i kalkulacija </w:t>
      </w:r>
      <w:r>
        <w:rPr>
          <w:rFonts w:cstheme="minorHAnsi"/>
        </w:rPr>
        <w:t>prihoda Komunalno Hvar d.o.o..</w:t>
      </w:r>
      <w:r w:rsidRPr="004C4947">
        <w:rPr>
          <w:rFonts w:cstheme="minorHAnsi"/>
        </w:rPr>
        <w:t xml:space="preserve">  </w:t>
      </w:r>
    </w:p>
    <w:p w14:paraId="35A2C109" w14:textId="77777777" w:rsidR="00CA7247" w:rsidRDefault="00CA7247" w:rsidP="00CA7247">
      <w:pPr>
        <w:spacing w:after="3" w:line="216" w:lineRule="auto"/>
        <w:ind w:left="14" w:right="57"/>
        <w:jc w:val="both"/>
        <w:rPr>
          <w:rFonts w:cstheme="minorHAnsi"/>
        </w:rPr>
      </w:pPr>
    </w:p>
    <w:p w14:paraId="3FD43549" w14:textId="77777777" w:rsidR="00CA7247" w:rsidRDefault="00CA7247" w:rsidP="00CA7247">
      <w:pPr>
        <w:spacing w:after="3" w:line="216" w:lineRule="auto"/>
        <w:ind w:left="14" w:right="57"/>
        <w:jc w:val="both"/>
        <w:rPr>
          <w:rFonts w:cstheme="minorHAnsi"/>
          <w:b/>
          <w:bCs/>
        </w:rPr>
      </w:pPr>
    </w:p>
    <w:p w14:paraId="4B0D0224" w14:textId="77777777" w:rsidR="00CA7247" w:rsidRPr="00025B55" w:rsidRDefault="00CA7247" w:rsidP="00CA7247">
      <w:pPr>
        <w:spacing w:after="3" w:line="216" w:lineRule="auto"/>
        <w:ind w:left="14" w:right="57"/>
        <w:jc w:val="both"/>
        <w:rPr>
          <w:rFonts w:cstheme="minorHAnsi"/>
          <w:b/>
          <w:bCs/>
        </w:rPr>
      </w:pPr>
      <w:r w:rsidRPr="00287FC8">
        <w:rPr>
          <w:rFonts w:cstheme="minorHAnsi"/>
          <w:b/>
          <w:bCs/>
        </w:rPr>
        <w:t>Konačni izgled računa za sve korisnike iz kategorije kućanstvo:</w:t>
      </w:r>
      <w:r w:rsidRPr="00025B55">
        <w:rPr>
          <w:rFonts w:cstheme="minorHAnsi"/>
          <w:b/>
          <w:bCs/>
        </w:rPr>
        <w:t xml:space="preserve"> </w:t>
      </w:r>
    </w:p>
    <w:p w14:paraId="4D180A00" w14:textId="77777777" w:rsidR="00CA7247" w:rsidRDefault="00CA7247" w:rsidP="00CA7247">
      <w:pPr>
        <w:spacing w:after="3" w:line="216" w:lineRule="auto"/>
        <w:ind w:left="14" w:right="57"/>
        <w:jc w:val="both"/>
        <w:rPr>
          <w:rFonts w:cstheme="minorHAnsi"/>
        </w:rPr>
      </w:pPr>
    </w:p>
    <w:p w14:paraId="2E44838F" w14:textId="77777777" w:rsidR="00CA7247" w:rsidRDefault="00CA7247" w:rsidP="00CA7247">
      <w:pPr>
        <w:spacing w:after="3" w:line="216" w:lineRule="auto"/>
        <w:ind w:left="14" w:right="57"/>
        <w:jc w:val="both"/>
        <w:rPr>
          <w:rFonts w:cstheme="minorHAnsi"/>
        </w:rPr>
      </w:pPr>
    </w:p>
    <w:tbl>
      <w:tblPr>
        <w:tblStyle w:val="Tamnatablicareetke5-isticanje61"/>
        <w:tblW w:w="5300" w:type="dxa"/>
        <w:jc w:val="center"/>
        <w:tblLook w:val="0480" w:firstRow="0" w:lastRow="0" w:firstColumn="1" w:lastColumn="0" w:noHBand="0" w:noVBand="1"/>
      </w:tblPr>
      <w:tblGrid>
        <w:gridCol w:w="3080"/>
        <w:gridCol w:w="2220"/>
      </w:tblGrid>
      <w:tr w:rsidR="00CA7247" w:rsidRPr="00025B55" w14:paraId="382CE3AF" w14:textId="77777777" w:rsidTr="008766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80" w:type="dxa"/>
            <w:noWrap/>
            <w:hideMark/>
          </w:tcPr>
          <w:p w14:paraId="1577CB76" w14:textId="77777777" w:rsidR="00CA7247" w:rsidRPr="00025B55" w:rsidRDefault="00CA7247" w:rsidP="00876643">
            <w:pPr>
              <w:rPr>
                <w:rFonts w:ascii="Calibri" w:eastAsia="Times New Roman" w:hAnsi="Calibri" w:cs="Calibri"/>
                <w:color w:val="000000"/>
                <w:lang w:val="hr-HR" w:eastAsia="hr-HR"/>
              </w:rPr>
            </w:pPr>
            <w:r w:rsidRPr="00025B55">
              <w:rPr>
                <w:rFonts w:ascii="Calibri" w:eastAsia="Times New Roman" w:hAnsi="Calibri" w:cs="Calibri"/>
                <w:color w:val="000000"/>
                <w:lang w:val="hr-HR" w:eastAsia="hr-HR"/>
              </w:rPr>
              <w:t>Cijena minimalne javne usluge</w:t>
            </w:r>
            <w:r w:rsidRPr="00830491">
              <w:rPr>
                <w:rFonts w:ascii="Calibri" w:eastAsia="Times New Roman" w:hAnsi="Calibri" w:cs="Calibri"/>
                <w:color w:val="000000"/>
                <w:lang w:val="hr-HR" w:eastAsia="hr-HR"/>
              </w:rPr>
              <w:t xml:space="preserve"> sa umanjenjem</w:t>
            </w:r>
          </w:p>
        </w:tc>
        <w:tc>
          <w:tcPr>
            <w:tcW w:w="2220" w:type="dxa"/>
            <w:noWrap/>
            <w:hideMark/>
          </w:tcPr>
          <w:p w14:paraId="2FC51E6C" w14:textId="421D8277" w:rsidR="00CA7247" w:rsidRPr="00025B55" w:rsidRDefault="00FD6BEB" w:rsidP="00876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hr-HR" w:eastAsia="hr-HR"/>
              </w:rPr>
            </w:pPr>
            <w:r>
              <w:rPr>
                <w:rFonts w:ascii="Calibri" w:eastAsia="Times New Roman" w:hAnsi="Calibri" w:cs="Calibri"/>
                <w:color w:val="000000"/>
                <w:lang w:val="hr-HR" w:eastAsia="hr-HR"/>
              </w:rPr>
              <w:t>11,60</w:t>
            </w:r>
            <w:r w:rsidR="00CA7247">
              <w:rPr>
                <w:rFonts w:ascii="Calibri" w:eastAsia="Times New Roman" w:hAnsi="Calibri" w:cs="Calibri"/>
                <w:color w:val="000000"/>
                <w:lang w:val="hr-HR" w:eastAsia="hr-HR"/>
              </w:rPr>
              <w:t xml:space="preserve"> €</w:t>
            </w:r>
          </w:p>
        </w:tc>
      </w:tr>
      <w:tr w:rsidR="00CA7247" w:rsidRPr="00025B55" w14:paraId="052E2028" w14:textId="77777777" w:rsidTr="00876643">
        <w:trPr>
          <w:trHeight w:val="288"/>
          <w:jc w:val="center"/>
        </w:trPr>
        <w:tc>
          <w:tcPr>
            <w:cnfStyle w:val="001000000000" w:firstRow="0" w:lastRow="0" w:firstColumn="1" w:lastColumn="0" w:oddVBand="0" w:evenVBand="0" w:oddHBand="0" w:evenHBand="0" w:firstRowFirstColumn="0" w:firstRowLastColumn="0" w:lastRowFirstColumn="0" w:lastRowLastColumn="0"/>
            <w:tcW w:w="3080" w:type="dxa"/>
            <w:noWrap/>
            <w:hideMark/>
          </w:tcPr>
          <w:p w14:paraId="2D27913C" w14:textId="77777777" w:rsidR="00CA7247" w:rsidRPr="00025B55" w:rsidRDefault="00CA7247" w:rsidP="00876643">
            <w:pPr>
              <w:rPr>
                <w:rFonts w:ascii="Calibri" w:eastAsia="Times New Roman" w:hAnsi="Calibri" w:cs="Calibri"/>
                <w:color w:val="000000"/>
                <w:lang w:val="hr-HR" w:eastAsia="hr-HR"/>
              </w:rPr>
            </w:pPr>
            <w:r w:rsidRPr="00025B55">
              <w:rPr>
                <w:rFonts w:ascii="Calibri" w:eastAsia="Times New Roman" w:hAnsi="Calibri" w:cs="Calibri"/>
                <w:color w:val="000000"/>
                <w:lang w:val="hr-HR" w:eastAsia="hr-HR"/>
              </w:rPr>
              <w:t>Varijabilni dio</w:t>
            </w:r>
          </w:p>
        </w:tc>
        <w:tc>
          <w:tcPr>
            <w:tcW w:w="2220" w:type="dxa"/>
            <w:noWrap/>
            <w:hideMark/>
          </w:tcPr>
          <w:p w14:paraId="61FB6A69" w14:textId="77777777" w:rsidR="00CA7247" w:rsidRPr="00025B55" w:rsidRDefault="00CA7247" w:rsidP="00876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hr-HR" w:eastAsia="hr-HR"/>
              </w:rPr>
            </w:pPr>
            <w:r>
              <w:rPr>
                <w:rFonts w:ascii="Calibri" w:eastAsia="Times New Roman" w:hAnsi="Calibri" w:cs="Calibri"/>
                <w:color w:val="000000"/>
                <w:lang w:val="hr-HR" w:eastAsia="hr-HR"/>
              </w:rPr>
              <w:t>1,06 €</w:t>
            </w:r>
          </w:p>
        </w:tc>
      </w:tr>
      <w:tr w:rsidR="00CA7247" w:rsidRPr="00025B55" w14:paraId="6F02B99F" w14:textId="77777777" w:rsidTr="008766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80" w:type="dxa"/>
            <w:noWrap/>
            <w:hideMark/>
          </w:tcPr>
          <w:p w14:paraId="5594421F" w14:textId="77777777" w:rsidR="00CA7247" w:rsidRPr="00025B55" w:rsidRDefault="00CA7247" w:rsidP="00876643">
            <w:pPr>
              <w:rPr>
                <w:rFonts w:ascii="Calibri" w:eastAsia="Times New Roman" w:hAnsi="Calibri" w:cs="Calibri"/>
                <w:color w:val="000000"/>
                <w:lang w:val="hr-HR" w:eastAsia="hr-HR"/>
              </w:rPr>
            </w:pPr>
            <w:r w:rsidRPr="00025B55">
              <w:rPr>
                <w:rFonts w:ascii="Calibri" w:eastAsia="Times New Roman" w:hAnsi="Calibri" w:cs="Calibri"/>
                <w:color w:val="000000"/>
                <w:lang w:val="hr-HR" w:eastAsia="hr-HR"/>
              </w:rPr>
              <w:t>PDV (13%)</w:t>
            </w:r>
          </w:p>
        </w:tc>
        <w:tc>
          <w:tcPr>
            <w:tcW w:w="2220" w:type="dxa"/>
            <w:noWrap/>
            <w:hideMark/>
          </w:tcPr>
          <w:p w14:paraId="33B983D1" w14:textId="12FC73E3" w:rsidR="00CA7247" w:rsidRPr="00025B55" w:rsidRDefault="00CA7247" w:rsidP="00876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hr-HR" w:eastAsia="hr-HR"/>
              </w:rPr>
            </w:pPr>
            <w:r>
              <w:rPr>
                <w:rFonts w:ascii="Calibri" w:eastAsia="Times New Roman" w:hAnsi="Calibri" w:cs="Calibri"/>
                <w:color w:val="000000"/>
                <w:lang w:val="hr-HR" w:eastAsia="hr-HR"/>
              </w:rPr>
              <w:t>1,</w:t>
            </w:r>
            <w:r w:rsidR="00FD6BEB">
              <w:rPr>
                <w:rFonts w:ascii="Calibri" w:eastAsia="Times New Roman" w:hAnsi="Calibri" w:cs="Calibri"/>
                <w:color w:val="000000"/>
                <w:lang w:val="hr-HR" w:eastAsia="hr-HR"/>
              </w:rPr>
              <w:t>65</w:t>
            </w:r>
            <w:r>
              <w:rPr>
                <w:rFonts w:ascii="Calibri" w:eastAsia="Times New Roman" w:hAnsi="Calibri" w:cs="Calibri"/>
                <w:color w:val="000000"/>
                <w:lang w:val="hr-HR" w:eastAsia="hr-HR"/>
              </w:rPr>
              <w:t xml:space="preserve"> €</w:t>
            </w:r>
          </w:p>
        </w:tc>
      </w:tr>
      <w:tr w:rsidR="00CA7247" w:rsidRPr="00025B55" w14:paraId="4E91F0B1" w14:textId="77777777" w:rsidTr="00876643">
        <w:trPr>
          <w:trHeight w:val="372"/>
          <w:jc w:val="center"/>
        </w:trPr>
        <w:tc>
          <w:tcPr>
            <w:cnfStyle w:val="001000000000" w:firstRow="0" w:lastRow="0" w:firstColumn="1" w:lastColumn="0" w:oddVBand="0" w:evenVBand="0" w:oddHBand="0" w:evenHBand="0" w:firstRowFirstColumn="0" w:firstRowLastColumn="0" w:lastRowFirstColumn="0" w:lastRowLastColumn="0"/>
            <w:tcW w:w="3080" w:type="dxa"/>
            <w:noWrap/>
            <w:hideMark/>
          </w:tcPr>
          <w:p w14:paraId="5697FAA7" w14:textId="77777777" w:rsidR="00CA7247" w:rsidRPr="00025B55" w:rsidRDefault="00CA7247" w:rsidP="00876643">
            <w:pPr>
              <w:rPr>
                <w:rFonts w:ascii="Calibri" w:eastAsia="Times New Roman" w:hAnsi="Calibri" w:cs="Calibri"/>
                <w:color w:val="000000"/>
                <w:lang w:val="hr-HR" w:eastAsia="hr-HR"/>
              </w:rPr>
            </w:pPr>
            <w:r w:rsidRPr="00025B55">
              <w:rPr>
                <w:rFonts w:ascii="Calibri" w:eastAsia="Times New Roman" w:hAnsi="Calibri" w:cs="Calibri"/>
                <w:color w:val="000000"/>
                <w:lang w:val="hr-HR" w:eastAsia="hr-HR"/>
              </w:rPr>
              <w:t>Ukupno</w:t>
            </w:r>
          </w:p>
        </w:tc>
        <w:tc>
          <w:tcPr>
            <w:tcW w:w="2220" w:type="dxa"/>
            <w:noWrap/>
            <w:hideMark/>
          </w:tcPr>
          <w:p w14:paraId="1F77B61B" w14:textId="0027DE4D" w:rsidR="00CA7247" w:rsidRPr="00025B55" w:rsidRDefault="00FD6BEB" w:rsidP="00876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hr-HR" w:eastAsia="hr-HR"/>
              </w:rPr>
            </w:pPr>
            <w:r>
              <w:rPr>
                <w:rFonts w:ascii="Calibri" w:eastAsia="Times New Roman" w:hAnsi="Calibri" w:cs="Calibri"/>
                <w:b/>
                <w:bCs/>
                <w:color w:val="000000"/>
                <w:lang w:val="hr-HR" w:eastAsia="hr-HR"/>
              </w:rPr>
              <w:t>14,31</w:t>
            </w:r>
            <w:r w:rsidR="00CA7247">
              <w:rPr>
                <w:rFonts w:ascii="Calibri" w:eastAsia="Times New Roman" w:hAnsi="Calibri" w:cs="Calibri"/>
                <w:b/>
                <w:bCs/>
                <w:color w:val="000000"/>
                <w:lang w:val="hr-HR" w:eastAsia="hr-HR"/>
              </w:rPr>
              <w:t xml:space="preserve"> €</w:t>
            </w:r>
          </w:p>
        </w:tc>
      </w:tr>
    </w:tbl>
    <w:p w14:paraId="4FCB89B2" w14:textId="77777777" w:rsidR="00CA7247" w:rsidRDefault="00CA7247" w:rsidP="00CA7247">
      <w:pPr>
        <w:spacing w:after="3" w:line="216" w:lineRule="auto"/>
        <w:ind w:left="14" w:right="57"/>
        <w:jc w:val="both"/>
        <w:rPr>
          <w:rFonts w:cstheme="minorHAnsi"/>
        </w:rPr>
      </w:pPr>
    </w:p>
    <w:p w14:paraId="4E6E51DF" w14:textId="77777777" w:rsidR="00CA7247" w:rsidRDefault="00CA7247" w:rsidP="00CA7247">
      <w:pPr>
        <w:spacing w:after="3" w:line="216" w:lineRule="auto"/>
        <w:ind w:left="14" w:right="57"/>
        <w:jc w:val="both"/>
        <w:rPr>
          <w:rFonts w:cstheme="minorHAnsi"/>
        </w:rPr>
      </w:pPr>
    </w:p>
    <w:p w14:paraId="7947BA8A" w14:textId="77777777" w:rsidR="00CA7247" w:rsidRPr="000B22E1" w:rsidRDefault="00CA7247" w:rsidP="00CA7247">
      <w:pPr>
        <w:pStyle w:val="Naslov3"/>
      </w:pPr>
      <w:bookmarkStart w:id="13" w:name="_Toc183423657"/>
      <w:r>
        <w:t>Korisnici kategorije koji nisu kućanstvo</w:t>
      </w:r>
      <w:bookmarkEnd w:id="13"/>
    </w:p>
    <w:p w14:paraId="4FCC3ADD" w14:textId="77777777" w:rsidR="00CA7247" w:rsidRDefault="00CA7247" w:rsidP="00CA7247"/>
    <w:p w14:paraId="68FB1E81" w14:textId="77777777" w:rsidR="00CA7247" w:rsidRDefault="00CA7247" w:rsidP="00CA7247">
      <w:pPr>
        <w:spacing w:after="3" w:line="216" w:lineRule="auto"/>
        <w:ind w:left="14" w:right="57"/>
        <w:jc w:val="both"/>
        <w:rPr>
          <w:rFonts w:cstheme="minorHAnsi"/>
          <w:b/>
        </w:rPr>
      </w:pPr>
      <w:r w:rsidRPr="00CA12D4">
        <w:rPr>
          <w:rFonts w:cstheme="minorHAnsi"/>
          <w:b/>
        </w:rPr>
        <w:t xml:space="preserve">Cjenik za korisnike iz kategorije koji nisu kućanstvo se razlikuje od cjenika za kućanstva. Obveza davatelja javne usluge na pružanje javne usluge korisnicima koji nije kućanstvo ne odnosi se niti obuhvaća pružanje usluge odvoza i zbrinjavanja otpada koji je kao proizvodni otpad nastao u proizvodnom procesu korisnika javne usluge pravne osobe, bez obzira što bi po prirodi ili sastavu bio sličan komunalnom otpadu iz kućanstva, kao ni na otpad iz poljoprivrede niti otpad iz šumarstva. </w:t>
      </w:r>
    </w:p>
    <w:p w14:paraId="0DC3A6D1" w14:textId="77777777" w:rsidR="00CA7247" w:rsidRDefault="00CA7247" w:rsidP="001747AD"/>
    <w:p w14:paraId="1BCFF3C4" w14:textId="77777777" w:rsidR="00CA7247" w:rsidRDefault="00CA7247" w:rsidP="001747AD"/>
    <w:p w14:paraId="6DE35E43" w14:textId="77777777" w:rsidR="009E4305" w:rsidRDefault="009E4305" w:rsidP="001747AD"/>
    <w:p w14:paraId="21B96F56" w14:textId="77777777" w:rsidR="009E4305" w:rsidRDefault="009E4305" w:rsidP="001747AD"/>
    <w:p w14:paraId="725168DE" w14:textId="77777777" w:rsidR="009E4305" w:rsidRDefault="009E4305" w:rsidP="001747AD"/>
    <w:p w14:paraId="5F1618AE" w14:textId="77777777" w:rsidR="00CA7247" w:rsidRDefault="00CA7247" w:rsidP="00CA7247">
      <w:pPr>
        <w:spacing w:after="3" w:line="216" w:lineRule="auto"/>
        <w:ind w:left="14" w:right="57"/>
        <w:jc w:val="both"/>
        <w:rPr>
          <w:rFonts w:cstheme="minorHAnsi"/>
          <w:b/>
          <w:bCs/>
        </w:rPr>
      </w:pPr>
      <w:r w:rsidRPr="00287FC8">
        <w:rPr>
          <w:rFonts w:cstheme="minorHAnsi"/>
          <w:b/>
          <w:bCs/>
        </w:rPr>
        <w:lastRenderedPageBreak/>
        <w:t>Ukupni iznos računa za korisnike iz kategorije koja nije kućanstvo za 1 odvoz mjesečno</w:t>
      </w:r>
    </w:p>
    <w:p w14:paraId="6DBDC1E5" w14:textId="77777777" w:rsidR="00CA7247" w:rsidRDefault="00CA7247" w:rsidP="00CA7247">
      <w:pPr>
        <w:spacing w:after="3" w:line="216" w:lineRule="auto"/>
        <w:ind w:left="14" w:right="57"/>
        <w:jc w:val="both"/>
        <w:rPr>
          <w:rFonts w:cstheme="minorHAnsi"/>
          <w:b/>
          <w:bCs/>
        </w:rPr>
      </w:pPr>
    </w:p>
    <w:tbl>
      <w:tblPr>
        <w:tblW w:w="7508" w:type="dxa"/>
        <w:jc w:val="center"/>
        <w:tblLook w:val="04A0" w:firstRow="1" w:lastRow="0" w:firstColumn="1" w:lastColumn="0" w:noHBand="0" w:noVBand="1"/>
      </w:tblPr>
      <w:tblGrid>
        <w:gridCol w:w="3396"/>
        <w:gridCol w:w="1414"/>
        <w:gridCol w:w="142"/>
        <w:gridCol w:w="1368"/>
        <w:gridCol w:w="452"/>
        <w:gridCol w:w="736"/>
      </w:tblGrid>
      <w:tr w:rsidR="00CA7247" w:rsidRPr="00462CDB" w14:paraId="1C103D3A" w14:textId="77777777" w:rsidTr="00876643">
        <w:trPr>
          <w:trHeight w:val="937"/>
          <w:jc w:val="center"/>
        </w:trPr>
        <w:tc>
          <w:tcPr>
            <w:tcW w:w="3396" w:type="dxa"/>
            <w:tcBorders>
              <w:top w:val="single" w:sz="8" w:space="0" w:color="70AD47"/>
              <w:left w:val="single" w:sz="8" w:space="0" w:color="70AD47"/>
              <w:bottom w:val="single" w:sz="8" w:space="0" w:color="70AD47"/>
              <w:right w:val="nil"/>
            </w:tcBorders>
            <w:shd w:val="clear" w:color="000000" w:fill="70AD47"/>
            <w:noWrap/>
            <w:vAlign w:val="center"/>
            <w:hideMark/>
          </w:tcPr>
          <w:p w14:paraId="23C4639B" w14:textId="77777777" w:rsidR="00CA7247" w:rsidRPr="00462CDB" w:rsidRDefault="00CA7247" w:rsidP="00876643">
            <w:pPr>
              <w:spacing w:after="0" w:line="240" w:lineRule="auto"/>
              <w:rPr>
                <w:rFonts w:eastAsia="Times New Roman" w:cstheme="minorHAnsi"/>
                <w:b/>
                <w:bCs/>
                <w:color w:val="000000"/>
                <w:sz w:val="20"/>
                <w:szCs w:val="20"/>
                <w:lang w:eastAsia="hr-HR"/>
              </w:rPr>
            </w:pPr>
            <w:r w:rsidRPr="00462CDB">
              <w:rPr>
                <w:rFonts w:eastAsia="Times New Roman" w:cstheme="minorHAnsi"/>
                <w:b/>
                <w:bCs/>
                <w:color w:val="000000"/>
                <w:sz w:val="20"/>
                <w:szCs w:val="20"/>
                <w:lang w:eastAsia="hr-HR"/>
              </w:rPr>
              <w:t xml:space="preserve"> Kategorija korisnika (ukupni iznos računa </w:t>
            </w:r>
            <w:r>
              <w:rPr>
                <w:rFonts w:eastAsia="Times New Roman" w:cstheme="minorHAnsi"/>
                <w:b/>
                <w:bCs/>
                <w:color w:val="000000"/>
                <w:sz w:val="20"/>
                <w:szCs w:val="20"/>
                <w:lang w:eastAsia="hr-HR"/>
              </w:rPr>
              <w:t>sa</w:t>
            </w:r>
            <w:r w:rsidRPr="00462CDB">
              <w:rPr>
                <w:rFonts w:eastAsia="Times New Roman" w:cstheme="minorHAnsi"/>
                <w:b/>
                <w:bCs/>
                <w:color w:val="000000"/>
                <w:sz w:val="20"/>
                <w:szCs w:val="20"/>
                <w:lang w:eastAsia="hr-HR"/>
              </w:rPr>
              <w:t xml:space="preserve"> PDV)</w:t>
            </w:r>
          </w:p>
        </w:tc>
        <w:tc>
          <w:tcPr>
            <w:tcW w:w="1414" w:type="dxa"/>
            <w:tcBorders>
              <w:top w:val="single" w:sz="8" w:space="0" w:color="70AD47"/>
              <w:left w:val="nil"/>
              <w:bottom w:val="single" w:sz="8" w:space="0" w:color="70AD47"/>
              <w:right w:val="nil"/>
            </w:tcBorders>
            <w:shd w:val="clear" w:color="000000" w:fill="70AD47"/>
            <w:noWrap/>
            <w:vAlign w:val="center"/>
            <w:hideMark/>
          </w:tcPr>
          <w:p w14:paraId="402DFD10" w14:textId="77777777" w:rsidR="00CA7247" w:rsidRPr="00462CDB" w:rsidRDefault="00CA7247" w:rsidP="00876643">
            <w:pPr>
              <w:spacing w:after="0" w:line="240" w:lineRule="auto"/>
              <w:rPr>
                <w:rFonts w:eastAsia="Times New Roman" w:cstheme="minorHAnsi"/>
                <w:b/>
                <w:bCs/>
                <w:color w:val="000000"/>
                <w:sz w:val="20"/>
                <w:szCs w:val="20"/>
                <w:lang w:eastAsia="hr-HR"/>
              </w:rPr>
            </w:pPr>
            <w:r>
              <w:rPr>
                <w:rFonts w:eastAsia="Times New Roman" w:cstheme="minorHAnsi"/>
                <w:b/>
                <w:bCs/>
                <w:color w:val="000000"/>
                <w:sz w:val="20"/>
                <w:szCs w:val="20"/>
                <w:lang w:eastAsia="hr-HR"/>
              </w:rPr>
              <w:t xml:space="preserve">Nova cijena </w:t>
            </w:r>
            <w:r w:rsidRPr="00462CDB">
              <w:rPr>
                <w:rFonts w:eastAsia="Times New Roman" w:cstheme="minorHAnsi"/>
                <w:b/>
                <w:bCs/>
                <w:color w:val="000000"/>
                <w:sz w:val="20"/>
                <w:szCs w:val="20"/>
                <w:lang w:eastAsia="hr-HR"/>
              </w:rPr>
              <w:t xml:space="preserve">CMJU i </w:t>
            </w:r>
            <w:r>
              <w:rPr>
                <w:rFonts w:eastAsia="Times New Roman" w:cstheme="minorHAnsi"/>
                <w:b/>
                <w:bCs/>
                <w:color w:val="000000"/>
                <w:sz w:val="20"/>
                <w:szCs w:val="20"/>
                <w:lang w:eastAsia="hr-HR"/>
              </w:rPr>
              <w:t>1</w:t>
            </w:r>
            <w:r w:rsidRPr="00462CDB">
              <w:rPr>
                <w:rFonts w:eastAsia="Times New Roman" w:cstheme="minorHAnsi"/>
                <w:b/>
                <w:bCs/>
                <w:color w:val="000000"/>
                <w:sz w:val="20"/>
                <w:szCs w:val="20"/>
                <w:lang w:eastAsia="hr-HR"/>
              </w:rPr>
              <w:t xml:space="preserve"> odvoza mjesečno</w:t>
            </w:r>
          </w:p>
        </w:tc>
        <w:tc>
          <w:tcPr>
            <w:tcW w:w="1510" w:type="dxa"/>
            <w:gridSpan w:val="2"/>
            <w:tcBorders>
              <w:top w:val="single" w:sz="8" w:space="0" w:color="70AD47"/>
              <w:left w:val="nil"/>
              <w:bottom w:val="single" w:sz="8" w:space="0" w:color="70AD47"/>
              <w:right w:val="nil"/>
            </w:tcBorders>
            <w:shd w:val="clear" w:color="000000" w:fill="70AD47"/>
            <w:noWrap/>
            <w:vAlign w:val="center"/>
            <w:hideMark/>
          </w:tcPr>
          <w:p w14:paraId="3F521ACA" w14:textId="77777777" w:rsidR="00CA7247" w:rsidRPr="00462CDB" w:rsidRDefault="00CA7247" w:rsidP="00876643">
            <w:pPr>
              <w:spacing w:after="0" w:line="240" w:lineRule="auto"/>
              <w:rPr>
                <w:rFonts w:eastAsia="Times New Roman" w:cstheme="minorHAnsi"/>
                <w:b/>
                <w:bCs/>
                <w:color w:val="000000"/>
                <w:sz w:val="20"/>
                <w:szCs w:val="20"/>
                <w:lang w:eastAsia="hr-HR"/>
              </w:rPr>
            </w:pPr>
            <w:r w:rsidRPr="00462CDB">
              <w:rPr>
                <w:rFonts w:eastAsia="Times New Roman" w:cstheme="minorHAnsi"/>
                <w:b/>
                <w:bCs/>
                <w:color w:val="000000"/>
                <w:sz w:val="20"/>
                <w:szCs w:val="20"/>
                <w:lang w:eastAsia="hr-HR"/>
              </w:rPr>
              <w:t>Stara cijena</w:t>
            </w:r>
          </w:p>
        </w:tc>
        <w:tc>
          <w:tcPr>
            <w:tcW w:w="1188" w:type="dxa"/>
            <w:gridSpan w:val="2"/>
            <w:tcBorders>
              <w:top w:val="single" w:sz="8" w:space="0" w:color="70AD47"/>
              <w:left w:val="nil"/>
              <w:bottom w:val="single" w:sz="8" w:space="0" w:color="70AD47"/>
              <w:right w:val="nil"/>
            </w:tcBorders>
            <w:shd w:val="clear" w:color="000000" w:fill="70AD47"/>
            <w:noWrap/>
            <w:vAlign w:val="center"/>
            <w:hideMark/>
          </w:tcPr>
          <w:p w14:paraId="4BDA9844" w14:textId="77777777" w:rsidR="00CA7247" w:rsidRPr="00462CDB" w:rsidRDefault="00CA7247" w:rsidP="00876643">
            <w:pPr>
              <w:spacing w:after="0" w:line="240" w:lineRule="auto"/>
              <w:rPr>
                <w:rFonts w:eastAsia="Times New Roman" w:cstheme="minorHAnsi"/>
                <w:b/>
                <w:bCs/>
                <w:color w:val="000000"/>
                <w:sz w:val="20"/>
                <w:szCs w:val="20"/>
                <w:lang w:eastAsia="hr-HR"/>
              </w:rPr>
            </w:pPr>
          </w:p>
        </w:tc>
      </w:tr>
      <w:tr w:rsidR="00CA7247" w:rsidRPr="00BD0DA2" w14:paraId="3A651555" w14:textId="77777777" w:rsidTr="00876643">
        <w:trPr>
          <w:trHeight w:val="259"/>
          <w:jc w:val="center"/>
        </w:trPr>
        <w:tc>
          <w:tcPr>
            <w:tcW w:w="3396" w:type="dxa"/>
            <w:tcBorders>
              <w:top w:val="nil"/>
              <w:left w:val="single" w:sz="8" w:space="0" w:color="A8D08D"/>
              <w:bottom w:val="single" w:sz="8" w:space="0" w:color="A8D08D"/>
              <w:right w:val="single" w:sz="8" w:space="0" w:color="A8D08D"/>
            </w:tcBorders>
            <w:shd w:val="clear" w:color="000000" w:fill="E2EFD9"/>
            <w:vAlign w:val="center"/>
            <w:hideMark/>
          </w:tcPr>
          <w:p w14:paraId="3609895A" w14:textId="77777777" w:rsidR="00CA7247" w:rsidRPr="00462CDB" w:rsidRDefault="00CA7247" w:rsidP="00876643">
            <w:pPr>
              <w:spacing w:after="0" w:line="240" w:lineRule="auto"/>
              <w:rPr>
                <w:rFonts w:eastAsia="Times New Roman" w:cstheme="minorHAnsi"/>
                <w:b/>
                <w:bCs/>
                <w:color w:val="000000"/>
                <w:sz w:val="20"/>
                <w:szCs w:val="20"/>
                <w:lang w:eastAsia="hr-HR"/>
              </w:rPr>
            </w:pPr>
            <w:r w:rsidRPr="00462CDB">
              <w:rPr>
                <w:rFonts w:eastAsia="Times New Roman" w:cstheme="minorHAnsi"/>
                <w:b/>
                <w:bCs/>
                <w:color w:val="000000"/>
                <w:sz w:val="20"/>
                <w:szCs w:val="20"/>
                <w:lang w:eastAsia="hr-HR"/>
              </w:rPr>
              <w:t xml:space="preserve">Spremnik </w:t>
            </w:r>
            <w:r>
              <w:rPr>
                <w:rFonts w:eastAsia="Times New Roman" w:cstheme="minorHAnsi"/>
                <w:b/>
                <w:bCs/>
                <w:color w:val="000000"/>
                <w:sz w:val="20"/>
                <w:szCs w:val="20"/>
                <w:lang w:eastAsia="hr-HR"/>
              </w:rPr>
              <w:t>80</w:t>
            </w:r>
            <w:r w:rsidRPr="00462CDB">
              <w:rPr>
                <w:rFonts w:eastAsia="Times New Roman" w:cstheme="minorHAnsi"/>
                <w:b/>
                <w:bCs/>
                <w:color w:val="000000"/>
                <w:sz w:val="20"/>
                <w:szCs w:val="20"/>
                <w:lang w:eastAsia="hr-HR"/>
              </w:rPr>
              <w:t xml:space="preserve"> litara</w:t>
            </w:r>
          </w:p>
        </w:tc>
        <w:tc>
          <w:tcPr>
            <w:tcW w:w="1556" w:type="dxa"/>
            <w:gridSpan w:val="2"/>
            <w:tcBorders>
              <w:top w:val="nil"/>
              <w:left w:val="nil"/>
              <w:bottom w:val="single" w:sz="8" w:space="0" w:color="A8D08D"/>
              <w:right w:val="single" w:sz="8" w:space="0" w:color="A8D08D"/>
            </w:tcBorders>
            <w:shd w:val="clear" w:color="000000" w:fill="E2EFD9"/>
            <w:noWrap/>
            <w:vAlign w:val="center"/>
          </w:tcPr>
          <w:p w14:paraId="26E70CC6" w14:textId="6DF2D3D9" w:rsidR="00CA7247" w:rsidRPr="00CC45AE" w:rsidRDefault="00FD6BEB" w:rsidP="00876643">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22,32</w:t>
            </w:r>
            <w:r w:rsidR="00CA7247">
              <w:rPr>
                <w:rFonts w:eastAsia="Times New Roman" w:cstheme="minorHAnsi"/>
                <w:color w:val="000000"/>
                <w:sz w:val="20"/>
                <w:szCs w:val="20"/>
                <w:lang w:eastAsia="hr-HR"/>
              </w:rPr>
              <w:t xml:space="preserve"> €</w:t>
            </w:r>
          </w:p>
        </w:tc>
        <w:tc>
          <w:tcPr>
            <w:tcW w:w="1820" w:type="dxa"/>
            <w:gridSpan w:val="2"/>
            <w:tcBorders>
              <w:top w:val="nil"/>
              <w:left w:val="nil"/>
              <w:bottom w:val="single" w:sz="8" w:space="0" w:color="A8D08D"/>
              <w:right w:val="single" w:sz="8" w:space="0" w:color="A8D08D"/>
            </w:tcBorders>
            <w:shd w:val="clear" w:color="000000" w:fill="E2EFD9"/>
            <w:noWrap/>
            <w:vAlign w:val="center"/>
          </w:tcPr>
          <w:p w14:paraId="08E1E1EC" w14:textId="11670757" w:rsidR="00CA7247" w:rsidRPr="00CC45AE" w:rsidRDefault="00FD6BEB" w:rsidP="00876643">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18,00</w:t>
            </w:r>
            <w:r w:rsidR="00CA7247">
              <w:rPr>
                <w:rFonts w:eastAsia="Times New Roman" w:cstheme="minorHAnsi"/>
                <w:color w:val="000000"/>
                <w:sz w:val="20"/>
                <w:szCs w:val="20"/>
                <w:lang w:eastAsia="hr-HR"/>
              </w:rPr>
              <w:t xml:space="preserve"> €</w:t>
            </w:r>
          </w:p>
        </w:tc>
        <w:tc>
          <w:tcPr>
            <w:tcW w:w="736" w:type="dxa"/>
            <w:tcBorders>
              <w:top w:val="nil"/>
              <w:left w:val="nil"/>
              <w:bottom w:val="single" w:sz="8" w:space="0" w:color="A8D08D"/>
              <w:right w:val="single" w:sz="8" w:space="0" w:color="A8D08D"/>
            </w:tcBorders>
            <w:shd w:val="clear" w:color="000000" w:fill="E2EFD9"/>
            <w:noWrap/>
          </w:tcPr>
          <w:p w14:paraId="5CA4D3FA" w14:textId="77777777" w:rsidR="00CA7247" w:rsidRPr="00CC45AE" w:rsidRDefault="00CA7247" w:rsidP="00876643">
            <w:pPr>
              <w:spacing w:after="0" w:line="240" w:lineRule="auto"/>
              <w:jc w:val="right"/>
              <w:rPr>
                <w:rFonts w:eastAsia="Times New Roman" w:cstheme="minorHAnsi"/>
                <w:color w:val="000000"/>
                <w:sz w:val="20"/>
                <w:szCs w:val="20"/>
                <w:lang w:eastAsia="hr-HR"/>
              </w:rPr>
            </w:pPr>
          </w:p>
        </w:tc>
      </w:tr>
    </w:tbl>
    <w:p w14:paraId="52F02CDA" w14:textId="77777777" w:rsidR="00CA7247" w:rsidRDefault="00CA7247" w:rsidP="00CA7247">
      <w:pPr>
        <w:spacing w:after="3" w:line="216" w:lineRule="auto"/>
        <w:ind w:left="14" w:right="57"/>
        <w:jc w:val="both"/>
        <w:rPr>
          <w:rFonts w:cstheme="minorHAnsi"/>
          <w:b/>
        </w:rPr>
      </w:pPr>
    </w:p>
    <w:p w14:paraId="62F59244" w14:textId="77777777" w:rsidR="00CA7247" w:rsidRDefault="00CA7247" w:rsidP="00CA7247">
      <w:pPr>
        <w:spacing w:after="3" w:line="216" w:lineRule="auto"/>
        <w:ind w:right="57"/>
        <w:jc w:val="both"/>
        <w:rPr>
          <w:rFonts w:cstheme="minorHAnsi"/>
          <w:b/>
        </w:rPr>
      </w:pPr>
    </w:p>
    <w:p w14:paraId="62C3E1C1" w14:textId="77777777" w:rsidR="002C576B" w:rsidRDefault="002C576B" w:rsidP="00CA7247">
      <w:pPr>
        <w:spacing w:after="3" w:line="216" w:lineRule="auto"/>
        <w:ind w:left="14" w:right="57"/>
        <w:jc w:val="both"/>
        <w:rPr>
          <w:rFonts w:cstheme="minorHAnsi"/>
          <w:b/>
          <w:bCs/>
        </w:rPr>
      </w:pPr>
    </w:p>
    <w:p w14:paraId="6644CE2D" w14:textId="77777777" w:rsidR="002C576B" w:rsidRDefault="002C576B" w:rsidP="00CA7247">
      <w:pPr>
        <w:spacing w:after="3" w:line="216" w:lineRule="auto"/>
        <w:ind w:left="14" w:right="57"/>
        <w:jc w:val="both"/>
        <w:rPr>
          <w:rFonts w:cstheme="minorHAnsi"/>
          <w:b/>
          <w:bCs/>
        </w:rPr>
      </w:pPr>
    </w:p>
    <w:p w14:paraId="01F92A33" w14:textId="44615D4B" w:rsidR="00CA7247" w:rsidRPr="00025B55" w:rsidRDefault="00CA7247" w:rsidP="00CA7247">
      <w:pPr>
        <w:spacing w:after="3" w:line="216" w:lineRule="auto"/>
        <w:ind w:left="14" w:right="57"/>
        <w:jc w:val="both"/>
        <w:rPr>
          <w:rFonts w:cstheme="minorHAnsi"/>
          <w:b/>
          <w:bCs/>
        </w:rPr>
      </w:pPr>
      <w:r w:rsidRPr="00287FC8">
        <w:rPr>
          <w:rFonts w:cstheme="minorHAnsi"/>
          <w:b/>
          <w:bCs/>
        </w:rPr>
        <w:t>Konačni izgled računa za sve korisnike iz kategorije koja nije kućanstvo za posudu od 80 litara:</w:t>
      </w:r>
      <w:r w:rsidRPr="00025B55">
        <w:rPr>
          <w:rFonts w:cstheme="minorHAnsi"/>
          <w:b/>
          <w:bCs/>
        </w:rPr>
        <w:t xml:space="preserve"> </w:t>
      </w:r>
    </w:p>
    <w:p w14:paraId="4ED4A4CB" w14:textId="77777777" w:rsidR="00CA7247" w:rsidRDefault="00CA7247" w:rsidP="00CA7247">
      <w:pPr>
        <w:spacing w:after="3" w:line="216" w:lineRule="auto"/>
        <w:ind w:left="14" w:right="57"/>
        <w:jc w:val="both"/>
        <w:rPr>
          <w:rFonts w:cstheme="minorHAnsi"/>
        </w:rPr>
      </w:pPr>
    </w:p>
    <w:p w14:paraId="4EC2D76A" w14:textId="77777777" w:rsidR="00CA7247" w:rsidRDefault="00CA7247" w:rsidP="00CA7247">
      <w:pPr>
        <w:spacing w:after="3" w:line="216" w:lineRule="auto"/>
        <w:ind w:left="14" w:right="57"/>
        <w:jc w:val="both"/>
        <w:rPr>
          <w:rFonts w:cstheme="minorHAnsi"/>
        </w:rPr>
      </w:pPr>
    </w:p>
    <w:tbl>
      <w:tblPr>
        <w:tblStyle w:val="Tamnatablicareetke5-isticanje61"/>
        <w:tblW w:w="5300" w:type="dxa"/>
        <w:jc w:val="center"/>
        <w:tblLook w:val="0480" w:firstRow="0" w:lastRow="0" w:firstColumn="1" w:lastColumn="0" w:noHBand="0" w:noVBand="1"/>
      </w:tblPr>
      <w:tblGrid>
        <w:gridCol w:w="3080"/>
        <w:gridCol w:w="2220"/>
      </w:tblGrid>
      <w:tr w:rsidR="00CA7247" w:rsidRPr="00025B55" w14:paraId="57669215" w14:textId="77777777" w:rsidTr="008766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80" w:type="dxa"/>
            <w:noWrap/>
            <w:hideMark/>
          </w:tcPr>
          <w:p w14:paraId="23CEDBEB" w14:textId="77777777" w:rsidR="00CA7247" w:rsidRPr="00025B55" w:rsidRDefault="00CA7247" w:rsidP="00876643">
            <w:pPr>
              <w:rPr>
                <w:rFonts w:ascii="Calibri" w:eastAsia="Times New Roman" w:hAnsi="Calibri" w:cs="Calibri"/>
                <w:color w:val="000000"/>
                <w:lang w:val="hr-HR" w:eastAsia="hr-HR"/>
              </w:rPr>
            </w:pPr>
            <w:r w:rsidRPr="00025B55">
              <w:rPr>
                <w:rFonts w:ascii="Calibri" w:eastAsia="Times New Roman" w:hAnsi="Calibri" w:cs="Calibri"/>
                <w:color w:val="000000"/>
                <w:lang w:val="hr-HR" w:eastAsia="hr-HR"/>
              </w:rPr>
              <w:t>Cijena minimalne javne usluge</w:t>
            </w:r>
            <w:r w:rsidRPr="00830491">
              <w:rPr>
                <w:rFonts w:ascii="Calibri" w:eastAsia="Times New Roman" w:hAnsi="Calibri" w:cs="Calibri"/>
                <w:color w:val="000000"/>
                <w:lang w:val="hr-HR" w:eastAsia="hr-HR"/>
              </w:rPr>
              <w:t xml:space="preserve"> sa umanjenjem</w:t>
            </w:r>
          </w:p>
        </w:tc>
        <w:tc>
          <w:tcPr>
            <w:tcW w:w="2220" w:type="dxa"/>
            <w:noWrap/>
            <w:hideMark/>
          </w:tcPr>
          <w:p w14:paraId="51D79B1D" w14:textId="471A9303" w:rsidR="00CA7247" w:rsidRPr="00025B55" w:rsidRDefault="00FD6BEB" w:rsidP="00876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hr-HR" w:eastAsia="hr-HR"/>
              </w:rPr>
            </w:pPr>
            <w:r>
              <w:rPr>
                <w:rFonts w:ascii="Calibri" w:eastAsia="Times New Roman" w:hAnsi="Calibri" w:cs="Calibri"/>
                <w:color w:val="000000"/>
                <w:lang w:val="hr-HR" w:eastAsia="hr-HR"/>
              </w:rPr>
              <w:t>16,56</w:t>
            </w:r>
            <w:r w:rsidR="00CA7247">
              <w:rPr>
                <w:rFonts w:ascii="Calibri" w:eastAsia="Times New Roman" w:hAnsi="Calibri" w:cs="Calibri"/>
                <w:color w:val="000000"/>
                <w:lang w:val="hr-HR" w:eastAsia="hr-HR"/>
              </w:rPr>
              <w:t xml:space="preserve"> €</w:t>
            </w:r>
          </w:p>
        </w:tc>
      </w:tr>
      <w:tr w:rsidR="00CA7247" w:rsidRPr="00025B55" w14:paraId="21DA9FB2" w14:textId="77777777" w:rsidTr="00876643">
        <w:trPr>
          <w:trHeight w:val="288"/>
          <w:jc w:val="center"/>
        </w:trPr>
        <w:tc>
          <w:tcPr>
            <w:cnfStyle w:val="001000000000" w:firstRow="0" w:lastRow="0" w:firstColumn="1" w:lastColumn="0" w:oddVBand="0" w:evenVBand="0" w:oddHBand="0" w:evenHBand="0" w:firstRowFirstColumn="0" w:firstRowLastColumn="0" w:lastRowFirstColumn="0" w:lastRowLastColumn="0"/>
            <w:tcW w:w="3080" w:type="dxa"/>
            <w:noWrap/>
            <w:hideMark/>
          </w:tcPr>
          <w:p w14:paraId="14FF14B6" w14:textId="77777777" w:rsidR="00CA7247" w:rsidRPr="00025B55" w:rsidRDefault="00CA7247" w:rsidP="00876643">
            <w:pPr>
              <w:rPr>
                <w:rFonts w:ascii="Calibri" w:eastAsia="Times New Roman" w:hAnsi="Calibri" w:cs="Calibri"/>
                <w:color w:val="000000"/>
                <w:lang w:val="hr-HR" w:eastAsia="hr-HR"/>
              </w:rPr>
            </w:pPr>
            <w:r w:rsidRPr="00025B55">
              <w:rPr>
                <w:rFonts w:ascii="Calibri" w:eastAsia="Times New Roman" w:hAnsi="Calibri" w:cs="Calibri"/>
                <w:color w:val="000000"/>
                <w:lang w:val="hr-HR" w:eastAsia="hr-HR"/>
              </w:rPr>
              <w:t>Varijabilni dio</w:t>
            </w:r>
          </w:p>
        </w:tc>
        <w:tc>
          <w:tcPr>
            <w:tcW w:w="2220" w:type="dxa"/>
            <w:noWrap/>
            <w:hideMark/>
          </w:tcPr>
          <w:p w14:paraId="18CA3EDF" w14:textId="77777777" w:rsidR="00CA7247" w:rsidRPr="00025B55" w:rsidRDefault="00CA7247" w:rsidP="00876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hr-HR" w:eastAsia="hr-HR"/>
              </w:rPr>
            </w:pPr>
            <w:r>
              <w:rPr>
                <w:rFonts w:ascii="Calibri" w:eastAsia="Times New Roman" w:hAnsi="Calibri" w:cs="Calibri"/>
                <w:color w:val="000000"/>
                <w:lang w:val="hr-HR" w:eastAsia="hr-HR"/>
              </w:rPr>
              <w:t>3,19 €</w:t>
            </w:r>
          </w:p>
        </w:tc>
      </w:tr>
      <w:tr w:rsidR="00CA7247" w:rsidRPr="00025B55" w14:paraId="6BE70D10" w14:textId="77777777" w:rsidTr="008766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80" w:type="dxa"/>
            <w:noWrap/>
            <w:hideMark/>
          </w:tcPr>
          <w:p w14:paraId="5B2D295C" w14:textId="77777777" w:rsidR="00CA7247" w:rsidRPr="00025B55" w:rsidRDefault="00CA7247" w:rsidP="00876643">
            <w:pPr>
              <w:rPr>
                <w:rFonts w:ascii="Calibri" w:eastAsia="Times New Roman" w:hAnsi="Calibri" w:cs="Calibri"/>
                <w:color w:val="000000"/>
                <w:lang w:val="hr-HR" w:eastAsia="hr-HR"/>
              </w:rPr>
            </w:pPr>
            <w:r w:rsidRPr="00025B55">
              <w:rPr>
                <w:rFonts w:ascii="Calibri" w:eastAsia="Times New Roman" w:hAnsi="Calibri" w:cs="Calibri"/>
                <w:color w:val="000000"/>
                <w:lang w:val="hr-HR" w:eastAsia="hr-HR"/>
              </w:rPr>
              <w:t>PDV (13%)</w:t>
            </w:r>
          </w:p>
        </w:tc>
        <w:tc>
          <w:tcPr>
            <w:tcW w:w="2220" w:type="dxa"/>
            <w:noWrap/>
            <w:hideMark/>
          </w:tcPr>
          <w:p w14:paraId="6E988303" w14:textId="09350151" w:rsidR="00CA7247" w:rsidRPr="00025B55" w:rsidRDefault="00CA7247" w:rsidP="00876643">
            <w:pPr>
              <w:tabs>
                <w:tab w:val="center" w:pos="1002"/>
                <w:tab w:val="right" w:pos="2004"/>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hr-HR" w:eastAsia="hr-HR"/>
              </w:rPr>
            </w:pPr>
            <w:r>
              <w:rPr>
                <w:rFonts w:ascii="Calibri" w:eastAsia="Times New Roman" w:hAnsi="Calibri" w:cs="Calibri"/>
                <w:color w:val="000000"/>
                <w:lang w:val="hr-HR" w:eastAsia="hr-HR"/>
              </w:rPr>
              <w:tab/>
              <w:t xml:space="preserve">                             </w:t>
            </w:r>
            <w:r w:rsidR="00FD6BEB">
              <w:rPr>
                <w:rFonts w:ascii="Calibri" w:eastAsia="Times New Roman" w:hAnsi="Calibri" w:cs="Calibri"/>
                <w:color w:val="000000"/>
                <w:lang w:val="hr-HR" w:eastAsia="hr-HR"/>
              </w:rPr>
              <w:t>2,57</w:t>
            </w:r>
            <w:r>
              <w:rPr>
                <w:rFonts w:ascii="Calibri" w:eastAsia="Times New Roman" w:hAnsi="Calibri" w:cs="Calibri"/>
                <w:color w:val="000000"/>
                <w:lang w:val="hr-HR" w:eastAsia="hr-HR"/>
              </w:rPr>
              <w:t xml:space="preserve"> €</w:t>
            </w:r>
          </w:p>
        </w:tc>
      </w:tr>
      <w:tr w:rsidR="00CA7247" w:rsidRPr="00025B55" w14:paraId="6B967E70" w14:textId="77777777" w:rsidTr="00876643">
        <w:trPr>
          <w:trHeight w:val="372"/>
          <w:jc w:val="center"/>
        </w:trPr>
        <w:tc>
          <w:tcPr>
            <w:cnfStyle w:val="001000000000" w:firstRow="0" w:lastRow="0" w:firstColumn="1" w:lastColumn="0" w:oddVBand="0" w:evenVBand="0" w:oddHBand="0" w:evenHBand="0" w:firstRowFirstColumn="0" w:firstRowLastColumn="0" w:lastRowFirstColumn="0" w:lastRowLastColumn="0"/>
            <w:tcW w:w="3080" w:type="dxa"/>
            <w:noWrap/>
            <w:hideMark/>
          </w:tcPr>
          <w:p w14:paraId="19ED0C23" w14:textId="77777777" w:rsidR="00CA7247" w:rsidRPr="00025B55" w:rsidRDefault="00CA7247" w:rsidP="00876643">
            <w:pPr>
              <w:rPr>
                <w:rFonts w:ascii="Calibri" w:eastAsia="Times New Roman" w:hAnsi="Calibri" w:cs="Calibri"/>
                <w:color w:val="000000"/>
                <w:lang w:val="hr-HR" w:eastAsia="hr-HR"/>
              </w:rPr>
            </w:pPr>
            <w:r w:rsidRPr="00025B55">
              <w:rPr>
                <w:rFonts w:ascii="Calibri" w:eastAsia="Times New Roman" w:hAnsi="Calibri" w:cs="Calibri"/>
                <w:color w:val="000000"/>
                <w:lang w:val="hr-HR" w:eastAsia="hr-HR"/>
              </w:rPr>
              <w:t>Ukupno</w:t>
            </w:r>
          </w:p>
        </w:tc>
        <w:tc>
          <w:tcPr>
            <w:tcW w:w="2220" w:type="dxa"/>
            <w:noWrap/>
            <w:hideMark/>
          </w:tcPr>
          <w:p w14:paraId="35F74ECA" w14:textId="3B55B2C2" w:rsidR="00CA7247" w:rsidRPr="00025B55" w:rsidRDefault="00FD6BEB" w:rsidP="00876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hr-HR" w:eastAsia="hr-HR"/>
              </w:rPr>
            </w:pPr>
            <w:r>
              <w:rPr>
                <w:rFonts w:ascii="Calibri" w:eastAsia="Times New Roman" w:hAnsi="Calibri" w:cs="Calibri"/>
                <w:b/>
                <w:bCs/>
                <w:color w:val="000000"/>
                <w:lang w:val="hr-HR" w:eastAsia="hr-HR"/>
              </w:rPr>
              <w:t>22,32</w:t>
            </w:r>
            <w:r w:rsidR="00CA7247">
              <w:rPr>
                <w:rFonts w:ascii="Calibri" w:eastAsia="Times New Roman" w:hAnsi="Calibri" w:cs="Calibri"/>
                <w:b/>
                <w:bCs/>
                <w:color w:val="000000"/>
                <w:lang w:val="hr-HR" w:eastAsia="hr-HR"/>
              </w:rPr>
              <w:t xml:space="preserve"> €</w:t>
            </w:r>
          </w:p>
        </w:tc>
      </w:tr>
    </w:tbl>
    <w:p w14:paraId="077D6D7A" w14:textId="77777777" w:rsidR="00CA7247" w:rsidRPr="00CA12D4" w:rsidRDefault="00CA7247" w:rsidP="00CA7247">
      <w:pPr>
        <w:spacing w:after="3" w:line="216" w:lineRule="auto"/>
        <w:ind w:left="14" w:right="57"/>
        <w:jc w:val="both"/>
        <w:rPr>
          <w:rFonts w:cstheme="minorHAnsi"/>
          <w:b/>
        </w:rPr>
      </w:pPr>
    </w:p>
    <w:p w14:paraId="71DD8C40" w14:textId="77777777" w:rsidR="00CA7247" w:rsidRPr="00CA12D4" w:rsidRDefault="00CA7247" w:rsidP="00CA7247">
      <w:pPr>
        <w:spacing w:after="3" w:line="216" w:lineRule="auto"/>
        <w:ind w:left="14" w:right="57"/>
        <w:jc w:val="both"/>
        <w:rPr>
          <w:rFonts w:cstheme="minorHAnsi"/>
          <w:b/>
        </w:rPr>
      </w:pPr>
    </w:p>
    <w:p w14:paraId="5B5A7686" w14:textId="77777777" w:rsidR="00CA7247" w:rsidRDefault="00CA7247" w:rsidP="00CA7247">
      <w:pPr>
        <w:spacing w:after="3" w:line="216" w:lineRule="auto"/>
        <w:ind w:left="14" w:right="57"/>
        <w:jc w:val="both"/>
        <w:rPr>
          <w:rFonts w:cstheme="minorHAnsi"/>
        </w:rPr>
      </w:pPr>
      <w:r>
        <w:rPr>
          <w:rFonts w:cstheme="minorHAnsi"/>
        </w:rPr>
        <w:t xml:space="preserve">Korisnici koji nisu kućanstvo imaju na raspolaganju 2 mogućnosti za odabir usluge koju žele koristiti; </w:t>
      </w:r>
    </w:p>
    <w:p w14:paraId="3881D583" w14:textId="77777777" w:rsidR="00CA7247" w:rsidRPr="00A721D6" w:rsidRDefault="00CA7247" w:rsidP="00CA7247">
      <w:pPr>
        <w:pStyle w:val="Odlomakpopisa"/>
        <w:numPr>
          <w:ilvl w:val="0"/>
          <w:numId w:val="13"/>
        </w:numPr>
        <w:spacing w:after="3" w:line="216" w:lineRule="auto"/>
        <w:ind w:right="57"/>
        <w:jc w:val="both"/>
        <w:rPr>
          <w:rFonts w:cstheme="minorHAnsi"/>
        </w:rPr>
      </w:pPr>
      <w:r w:rsidRPr="00A721D6">
        <w:rPr>
          <w:rFonts w:cstheme="minorHAnsi"/>
        </w:rPr>
        <w:t xml:space="preserve">redovni odvoz u sklopu javne usluge (prema rasporedu odvoza za kućanstva) </w:t>
      </w:r>
    </w:p>
    <w:p w14:paraId="67E8CC78" w14:textId="77777777" w:rsidR="00CA7247" w:rsidRPr="00A721D6" w:rsidRDefault="00CA7247" w:rsidP="00CA7247">
      <w:pPr>
        <w:pStyle w:val="Odlomakpopisa"/>
        <w:numPr>
          <w:ilvl w:val="0"/>
          <w:numId w:val="13"/>
        </w:numPr>
        <w:spacing w:after="3" w:line="216" w:lineRule="auto"/>
        <w:ind w:right="57"/>
        <w:jc w:val="both"/>
        <w:rPr>
          <w:rFonts w:cstheme="minorHAnsi"/>
        </w:rPr>
      </w:pPr>
      <w:r w:rsidRPr="00A721D6">
        <w:rPr>
          <w:rFonts w:cstheme="minorHAnsi"/>
        </w:rPr>
        <w:t xml:space="preserve"> ugovorni odnos sa </w:t>
      </w:r>
      <w:r>
        <w:rPr>
          <w:rFonts w:cstheme="minorHAnsi"/>
        </w:rPr>
        <w:t>davateljem</w:t>
      </w:r>
      <w:r w:rsidRPr="00A721D6">
        <w:rPr>
          <w:rFonts w:cstheme="minorHAnsi"/>
        </w:rPr>
        <w:t xml:space="preserve"> usluge gdje se prema potrebama povećava</w:t>
      </w:r>
      <w:r>
        <w:rPr>
          <w:rFonts w:cstheme="minorHAnsi"/>
        </w:rPr>
        <w:t>ju</w:t>
      </w:r>
      <w:r w:rsidRPr="00A721D6">
        <w:rPr>
          <w:rFonts w:cstheme="minorHAnsi"/>
        </w:rPr>
        <w:t xml:space="preserve"> učestalost ili potrebni volumen. </w:t>
      </w:r>
    </w:p>
    <w:p w14:paraId="68F8F52D" w14:textId="77777777" w:rsidR="00CA7247" w:rsidRDefault="00CA7247" w:rsidP="00CA7247">
      <w:pPr>
        <w:spacing w:after="3" w:line="216" w:lineRule="auto"/>
        <w:ind w:left="14" w:right="57"/>
        <w:jc w:val="both"/>
        <w:rPr>
          <w:rFonts w:cstheme="minorHAnsi"/>
        </w:rPr>
      </w:pPr>
    </w:p>
    <w:p w14:paraId="31E2BA88" w14:textId="77777777" w:rsidR="00CA7247" w:rsidRDefault="00CA7247" w:rsidP="00CA7247">
      <w:pPr>
        <w:spacing w:after="3" w:line="216" w:lineRule="auto"/>
        <w:ind w:left="14" w:right="57"/>
        <w:jc w:val="both"/>
        <w:rPr>
          <w:rFonts w:cstheme="minorHAnsi"/>
        </w:rPr>
      </w:pPr>
    </w:p>
    <w:p w14:paraId="62FEABEA" w14:textId="77777777" w:rsidR="00CA7247" w:rsidRPr="001747AD" w:rsidRDefault="00CA7247" w:rsidP="001747AD"/>
    <w:sectPr w:rsidR="00CA7247" w:rsidRPr="001747A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164E" w14:textId="77777777" w:rsidR="003D7D41" w:rsidRDefault="003D7D41" w:rsidP="00602914">
      <w:pPr>
        <w:spacing w:after="0" w:line="240" w:lineRule="auto"/>
      </w:pPr>
      <w:r>
        <w:separator/>
      </w:r>
    </w:p>
  </w:endnote>
  <w:endnote w:type="continuationSeparator" w:id="0">
    <w:p w14:paraId="273296BB" w14:textId="77777777" w:rsidR="003D7D41" w:rsidRDefault="003D7D41" w:rsidP="0060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9F7C" w14:textId="77777777" w:rsidR="001B1EB9" w:rsidRDefault="001B1EB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67712"/>
      <w:docPartObj>
        <w:docPartGallery w:val="Page Numbers (Bottom of Page)"/>
        <w:docPartUnique/>
      </w:docPartObj>
    </w:sdtPr>
    <w:sdtContent>
      <w:p w14:paraId="5142D3E0" w14:textId="77777777" w:rsidR="006A5A9A" w:rsidRDefault="00000000">
        <w:pPr>
          <w:pStyle w:val="Podnoje"/>
          <w:jc w:val="center"/>
        </w:pPr>
      </w:p>
    </w:sdtContent>
  </w:sdt>
  <w:p w14:paraId="0BC71E35" w14:textId="77777777" w:rsidR="006A5A9A" w:rsidRDefault="006A5A9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C984" w14:textId="77777777" w:rsidR="001B1EB9" w:rsidRDefault="001B1EB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2BD2" w14:textId="77777777" w:rsidR="003D7D41" w:rsidRDefault="003D7D41" w:rsidP="00602914">
      <w:pPr>
        <w:spacing w:after="0" w:line="240" w:lineRule="auto"/>
      </w:pPr>
      <w:r>
        <w:separator/>
      </w:r>
    </w:p>
  </w:footnote>
  <w:footnote w:type="continuationSeparator" w:id="0">
    <w:p w14:paraId="17ED0748" w14:textId="77777777" w:rsidR="003D7D41" w:rsidRDefault="003D7D41" w:rsidP="0060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8606" w14:textId="77777777" w:rsidR="001B1EB9" w:rsidRDefault="001B1EB9">
    <w:pPr>
      <w:pStyle w:val="Zaglavlj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76D2" w14:textId="77777777" w:rsidR="001B1EB9" w:rsidRDefault="001B1EB9">
    <w:pPr>
      <w:pStyle w:val="Zaglavlj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A391" w14:textId="77777777" w:rsidR="001B1EB9" w:rsidRDefault="001B1EB9">
    <w:pPr>
      <w:pStyle w:val="Zaglavlj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8D5"/>
    <w:multiLevelType w:val="hybridMultilevel"/>
    <w:tmpl w:val="393E5EE2"/>
    <w:lvl w:ilvl="0" w:tplc="A358EB0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0774B0"/>
    <w:multiLevelType w:val="multilevel"/>
    <w:tmpl w:val="041A0025"/>
    <w:lvl w:ilvl="0">
      <w:start w:val="1"/>
      <w:numFmt w:val="decimal"/>
      <w:pStyle w:val="Naslov1"/>
      <w:lvlText w:val="%1"/>
      <w:lvlJc w:val="left"/>
      <w:pPr>
        <w:ind w:left="857"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19050061"/>
    <w:multiLevelType w:val="hybridMultilevel"/>
    <w:tmpl w:val="B0484654"/>
    <w:lvl w:ilvl="0" w:tplc="45C88ECC">
      <w:start w:val="1"/>
      <w:numFmt w:val="upperLetter"/>
      <w:lvlText w:val="%1."/>
      <w:lvlJc w:val="left"/>
      <w:pPr>
        <w:ind w:left="720" w:hanging="360"/>
      </w:pPr>
      <w:rPr>
        <w:rFonts w:eastAsia="Times New Roman" w:cstheme="minorHAns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067F35"/>
    <w:multiLevelType w:val="hybridMultilevel"/>
    <w:tmpl w:val="4DD8D4F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6F44806"/>
    <w:multiLevelType w:val="hybridMultilevel"/>
    <w:tmpl w:val="C54C77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D75E70"/>
    <w:multiLevelType w:val="hybridMultilevel"/>
    <w:tmpl w:val="6B8C74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B12AF1"/>
    <w:multiLevelType w:val="hybridMultilevel"/>
    <w:tmpl w:val="50984D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4B324CC"/>
    <w:multiLevelType w:val="hybridMultilevel"/>
    <w:tmpl w:val="87CAD1D0"/>
    <w:lvl w:ilvl="0" w:tplc="A358EB0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F0101FE"/>
    <w:multiLevelType w:val="hybridMultilevel"/>
    <w:tmpl w:val="4CB08D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0D34FB9"/>
    <w:multiLevelType w:val="hybridMultilevel"/>
    <w:tmpl w:val="5704A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BEF7DE1"/>
    <w:multiLevelType w:val="hybridMultilevel"/>
    <w:tmpl w:val="33B89C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D785800"/>
    <w:multiLevelType w:val="hybridMultilevel"/>
    <w:tmpl w:val="83CC9892"/>
    <w:lvl w:ilvl="0" w:tplc="B726E3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01851"/>
    <w:multiLevelType w:val="hybridMultilevel"/>
    <w:tmpl w:val="80B89F30"/>
    <w:lvl w:ilvl="0" w:tplc="56D22A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331681827">
    <w:abstractNumId w:val="5"/>
  </w:num>
  <w:num w:numId="2" w16cid:durableId="1128015056">
    <w:abstractNumId w:val="10"/>
  </w:num>
  <w:num w:numId="3" w16cid:durableId="262153746">
    <w:abstractNumId w:val="12"/>
  </w:num>
  <w:num w:numId="4" w16cid:durableId="1001660203">
    <w:abstractNumId w:val="3"/>
  </w:num>
  <w:num w:numId="5" w16cid:durableId="1281768142">
    <w:abstractNumId w:val="7"/>
  </w:num>
  <w:num w:numId="6" w16cid:durableId="1530987374">
    <w:abstractNumId w:val="0"/>
  </w:num>
  <w:num w:numId="7" w16cid:durableId="1806779189">
    <w:abstractNumId w:val="6"/>
  </w:num>
  <w:num w:numId="8" w16cid:durableId="1264993990">
    <w:abstractNumId w:val="2"/>
  </w:num>
  <w:num w:numId="9" w16cid:durableId="1089039224">
    <w:abstractNumId w:val="9"/>
  </w:num>
  <w:num w:numId="10" w16cid:durableId="1792631931">
    <w:abstractNumId w:val="1"/>
  </w:num>
  <w:num w:numId="11" w16cid:durableId="836728354">
    <w:abstractNumId w:val="8"/>
  </w:num>
  <w:num w:numId="12" w16cid:durableId="1209493027">
    <w:abstractNumId w:val="4"/>
  </w:num>
  <w:num w:numId="13" w16cid:durableId="1831604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CEB"/>
    <w:rsid w:val="00010943"/>
    <w:rsid w:val="00014B89"/>
    <w:rsid w:val="00036584"/>
    <w:rsid w:val="000435FB"/>
    <w:rsid w:val="00055D62"/>
    <w:rsid w:val="00065424"/>
    <w:rsid w:val="00072EE3"/>
    <w:rsid w:val="0008023B"/>
    <w:rsid w:val="0008453D"/>
    <w:rsid w:val="00090E91"/>
    <w:rsid w:val="000916E3"/>
    <w:rsid w:val="0009654E"/>
    <w:rsid w:val="000A3D55"/>
    <w:rsid w:val="000B5872"/>
    <w:rsid w:val="000B7253"/>
    <w:rsid w:val="000C5E27"/>
    <w:rsid w:val="000F05ED"/>
    <w:rsid w:val="000F0E7A"/>
    <w:rsid w:val="0010161E"/>
    <w:rsid w:val="00110706"/>
    <w:rsid w:val="00111CF8"/>
    <w:rsid w:val="001178A5"/>
    <w:rsid w:val="00122D41"/>
    <w:rsid w:val="00132F17"/>
    <w:rsid w:val="00134469"/>
    <w:rsid w:val="00134C26"/>
    <w:rsid w:val="001412DB"/>
    <w:rsid w:val="00157048"/>
    <w:rsid w:val="00170A8C"/>
    <w:rsid w:val="0017110C"/>
    <w:rsid w:val="00172E66"/>
    <w:rsid w:val="001747AD"/>
    <w:rsid w:val="00174999"/>
    <w:rsid w:val="001828A0"/>
    <w:rsid w:val="00183584"/>
    <w:rsid w:val="001A066D"/>
    <w:rsid w:val="001A0C0E"/>
    <w:rsid w:val="001B1EB9"/>
    <w:rsid w:val="001C1C02"/>
    <w:rsid w:val="001D592C"/>
    <w:rsid w:val="001D70F5"/>
    <w:rsid w:val="001E4FFA"/>
    <w:rsid w:val="00227F2C"/>
    <w:rsid w:val="00233155"/>
    <w:rsid w:val="00254CFD"/>
    <w:rsid w:val="00294816"/>
    <w:rsid w:val="002A69B8"/>
    <w:rsid w:val="002C31E7"/>
    <w:rsid w:val="002C576B"/>
    <w:rsid w:val="002E54D0"/>
    <w:rsid w:val="00313118"/>
    <w:rsid w:val="00315906"/>
    <w:rsid w:val="003269CB"/>
    <w:rsid w:val="00327E76"/>
    <w:rsid w:val="00334A41"/>
    <w:rsid w:val="00346624"/>
    <w:rsid w:val="00350469"/>
    <w:rsid w:val="00351E63"/>
    <w:rsid w:val="003561BD"/>
    <w:rsid w:val="003849F3"/>
    <w:rsid w:val="00391B19"/>
    <w:rsid w:val="003B074C"/>
    <w:rsid w:val="003B0CEB"/>
    <w:rsid w:val="003D3CDB"/>
    <w:rsid w:val="003D474A"/>
    <w:rsid w:val="003D7D41"/>
    <w:rsid w:val="003E45A9"/>
    <w:rsid w:val="003E551E"/>
    <w:rsid w:val="003E7868"/>
    <w:rsid w:val="003F485D"/>
    <w:rsid w:val="004321EC"/>
    <w:rsid w:val="00432D2F"/>
    <w:rsid w:val="00443DE1"/>
    <w:rsid w:val="00452BB5"/>
    <w:rsid w:val="004549C5"/>
    <w:rsid w:val="004814F6"/>
    <w:rsid w:val="004971B1"/>
    <w:rsid w:val="004A01C6"/>
    <w:rsid w:val="004B3E0B"/>
    <w:rsid w:val="004B4C57"/>
    <w:rsid w:val="004D116A"/>
    <w:rsid w:val="004D1EB8"/>
    <w:rsid w:val="005021B8"/>
    <w:rsid w:val="00517588"/>
    <w:rsid w:val="005320C7"/>
    <w:rsid w:val="00544D24"/>
    <w:rsid w:val="00553F1D"/>
    <w:rsid w:val="00573BAD"/>
    <w:rsid w:val="00580472"/>
    <w:rsid w:val="005B23F4"/>
    <w:rsid w:val="005C56DC"/>
    <w:rsid w:val="005D0EA9"/>
    <w:rsid w:val="005E0E75"/>
    <w:rsid w:val="005F6ED8"/>
    <w:rsid w:val="00602914"/>
    <w:rsid w:val="00635878"/>
    <w:rsid w:val="00635BD2"/>
    <w:rsid w:val="00637203"/>
    <w:rsid w:val="00637B28"/>
    <w:rsid w:val="0065051E"/>
    <w:rsid w:val="00673AAA"/>
    <w:rsid w:val="0067585D"/>
    <w:rsid w:val="00681EA6"/>
    <w:rsid w:val="00691C45"/>
    <w:rsid w:val="006945D8"/>
    <w:rsid w:val="006A0C66"/>
    <w:rsid w:val="006A5A9A"/>
    <w:rsid w:val="006B0215"/>
    <w:rsid w:val="006E0320"/>
    <w:rsid w:val="00720D79"/>
    <w:rsid w:val="00724AF4"/>
    <w:rsid w:val="00727291"/>
    <w:rsid w:val="00745BE1"/>
    <w:rsid w:val="007546D7"/>
    <w:rsid w:val="00756017"/>
    <w:rsid w:val="0076056F"/>
    <w:rsid w:val="00765E43"/>
    <w:rsid w:val="00770946"/>
    <w:rsid w:val="00777171"/>
    <w:rsid w:val="00791B2B"/>
    <w:rsid w:val="0079623C"/>
    <w:rsid w:val="0079681E"/>
    <w:rsid w:val="007C6AC7"/>
    <w:rsid w:val="007E569F"/>
    <w:rsid w:val="007E5F45"/>
    <w:rsid w:val="007E7F02"/>
    <w:rsid w:val="007F745F"/>
    <w:rsid w:val="00821F42"/>
    <w:rsid w:val="0082539F"/>
    <w:rsid w:val="00827F9D"/>
    <w:rsid w:val="0083508B"/>
    <w:rsid w:val="00850508"/>
    <w:rsid w:val="00852E5E"/>
    <w:rsid w:val="0085538B"/>
    <w:rsid w:val="00856CA7"/>
    <w:rsid w:val="00874279"/>
    <w:rsid w:val="008A1AE3"/>
    <w:rsid w:val="008A6BE8"/>
    <w:rsid w:val="008C61F8"/>
    <w:rsid w:val="008D2901"/>
    <w:rsid w:val="008D5F33"/>
    <w:rsid w:val="008E4962"/>
    <w:rsid w:val="00900257"/>
    <w:rsid w:val="00916370"/>
    <w:rsid w:val="0092296E"/>
    <w:rsid w:val="00934117"/>
    <w:rsid w:val="00934564"/>
    <w:rsid w:val="0094050E"/>
    <w:rsid w:val="00940BA1"/>
    <w:rsid w:val="00951046"/>
    <w:rsid w:val="009535FB"/>
    <w:rsid w:val="0097503A"/>
    <w:rsid w:val="00980E4D"/>
    <w:rsid w:val="00996A46"/>
    <w:rsid w:val="009A42E2"/>
    <w:rsid w:val="009A7DC6"/>
    <w:rsid w:val="009B4C7B"/>
    <w:rsid w:val="009C7D52"/>
    <w:rsid w:val="009E4305"/>
    <w:rsid w:val="009E6BC4"/>
    <w:rsid w:val="009E7337"/>
    <w:rsid w:val="009F3471"/>
    <w:rsid w:val="009F5602"/>
    <w:rsid w:val="00A2683F"/>
    <w:rsid w:val="00A57103"/>
    <w:rsid w:val="00A66004"/>
    <w:rsid w:val="00A76668"/>
    <w:rsid w:val="00A814B7"/>
    <w:rsid w:val="00A86261"/>
    <w:rsid w:val="00A92AF0"/>
    <w:rsid w:val="00A93FEE"/>
    <w:rsid w:val="00A97DCD"/>
    <w:rsid w:val="00AA08DD"/>
    <w:rsid w:val="00AB1D04"/>
    <w:rsid w:val="00AB4C64"/>
    <w:rsid w:val="00AB7740"/>
    <w:rsid w:val="00AE5981"/>
    <w:rsid w:val="00AE67E0"/>
    <w:rsid w:val="00B01714"/>
    <w:rsid w:val="00B01E93"/>
    <w:rsid w:val="00B02AA7"/>
    <w:rsid w:val="00B03992"/>
    <w:rsid w:val="00B227B5"/>
    <w:rsid w:val="00B257A6"/>
    <w:rsid w:val="00B31636"/>
    <w:rsid w:val="00B36F56"/>
    <w:rsid w:val="00B70831"/>
    <w:rsid w:val="00B71CE7"/>
    <w:rsid w:val="00B72321"/>
    <w:rsid w:val="00B83F5B"/>
    <w:rsid w:val="00B8519C"/>
    <w:rsid w:val="00B860A7"/>
    <w:rsid w:val="00B92203"/>
    <w:rsid w:val="00BA38F9"/>
    <w:rsid w:val="00BB1B20"/>
    <w:rsid w:val="00BB3BE5"/>
    <w:rsid w:val="00BB5833"/>
    <w:rsid w:val="00BC39F0"/>
    <w:rsid w:val="00BD7BFF"/>
    <w:rsid w:val="00BE0E1F"/>
    <w:rsid w:val="00BE2C1C"/>
    <w:rsid w:val="00BE2F71"/>
    <w:rsid w:val="00BE47CA"/>
    <w:rsid w:val="00BF2F70"/>
    <w:rsid w:val="00C035C0"/>
    <w:rsid w:val="00C130CC"/>
    <w:rsid w:val="00C16B62"/>
    <w:rsid w:val="00C21832"/>
    <w:rsid w:val="00C21A32"/>
    <w:rsid w:val="00C27F0B"/>
    <w:rsid w:val="00C45550"/>
    <w:rsid w:val="00C50127"/>
    <w:rsid w:val="00C56678"/>
    <w:rsid w:val="00C606C5"/>
    <w:rsid w:val="00C85DE0"/>
    <w:rsid w:val="00CA42C2"/>
    <w:rsid w:val="00CA63CC"/>
    <w:rsid w:val="00CA7247"/>
    <w:rsid w:val="00CB6CEB"/>
    <w:rsid w:val="00CC0650"/>
    <w:rsid w:val="00CC28C6"/>
    <w:rsid w:val="00CC7325"/>
    <w:rsid w:val="00CD5B13"/>
    <w:rsid w:val="00CE08A2"/>
    <w:rsid w:val="00CF7F90"/>
    <w:rsid w:val="00D10AED"/>
    <w:rsid w:val="00D26019"/>
    <w:rsid w:val="00D83399"/>
    <w:rsid w:val="00D964CD"/>
    <w:rsid w:val="00DC5E64"/>
    <w:rsid w:val="00DE50EB"/>
    <w:rsid w:val="00E01CFA"/>
    <w:rsid w:val="00E2703B"/>
    <w:rsid w:val="00E31B98"/>
    <w:rsid w:val="00E50F1A"/>
    <w:rsid w:val="00E61AB5"/>
    <w:rsid w:val="00E871B5"/>
    <w:rsid w:val="00EA7D1D"/>
    <w:rsid w:val="00EC1478"/>
    <w:rsid w:val="00ED1331"/>
    <w:rsid w:val="00ED61D6"/>
    <w:rsid w:val="00F368D7"/>
    <w:rsid w:val="00F36A17"/>
    <w:rsid w:val="00F64AFF"/>
    <w:rsid w:val="00F77B49"/>
    <w:rsid w:val="00F870EC"/>
    <w:rsid w:val="00F9320A"/>
    <w:rsid w:val="00FC4258"/>
    <w:rsid w:val="00FD099C"/>
    <w:rsid w:val="00FD49F0"/>
    <w:rsid w:val="00FD6BEB"/>
    <w:rsid w:val="00FE4F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64350"/>
  <w15:chartTrackingRefBased/>
  <w15:docId w15:val="{E738E1B6-77A6-4212-A858-53890DAC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A5"/>
  </w:style>
  <w:style w:type="paragraph" w:styleId="Naslov1">
    <w:name w:val="heading 1"/>
    <w:basedOn w:val="Normal"/>
    <w:next w:val="Normal"/>
    <w:link w:val="Naslov1Char"/>
    <w:uiPriority w:val="9"/>
    <w:qFormat/>
    <w:rsid w:val="00CA7247"/>
    <w:pPr>
      <w:keepNext/>
      <w:keepLines/>
      <w:numPr>
        <w:numId w:val="10"/>
      </w:numPr>
      <w:spacing w:before="240" w:after="0"/>
      <w:ind w:left="432"/>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CA7247"/>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CA7247"/>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CA7247"/>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CA7247"/>
    <w:pPr>
      <w:keepNext/>
      <w:keepLines/>
      <w:numPr>
        <w:ilvl w:val="4"/>
        <w:numId w:val="10"/>
      </w:numPr>
      <w:spacing w:before="40" w:after="0"/>
      <w:ind w:left="3600" w:hanging="36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CA7247"/>
    <w:pPr>
      <w:keepNext/>
      <w:keepLines/>
      <w:numPr>
        <w:ilvl w:val="5"/>
        <w:numId w:val="10"/>
      </w:numPr>
      <w:spacing w:before="40" w:after="0"/>
      <w:ind w:left="4320" w:hanging="36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CA7247"/>
    <w:pPr>
      <w:keepNext/>
      <w:keepLines/>
      <w:numPr>
        <w:ilvl w:val="6"/>
        <w:numId w:val="10"/>
      </w:numPr>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semiHidden/>
    <w:unhideWhenUsed/>
    <w:qFormat/>
    <w:rsid w:val="00CA7247"/>
    <w:pPr>
      <w:keepNext/>
      <w:keepLines/>
      <w:numPr>
        <w:ilvl w:val="7"/>
        <w:numId w:val="10"/>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CA7247"/>
    <w:pPr>
      <w:keepNext/>
      <w:keepLines/>
      <w:numPr>
        <w:ilvl w:val="8"/>
        <w:numId w:val="10"/>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zaglavlje">
    <w:name w:val="zaglavlje"/>
    <w:basedOn w:val="Normal"/>
    <w:link w:val="Znakzaglavlja"/>
    <w:uiPriority w:val="99"/>
    <w:unhideWhenUsed/>
    <w:qFormat/>
    <w:rsid w:val="00C56678"/>
    <w:pPr>
      <w:spacing w:before="40" w:after="0" w:line="240" w:lineRule="auto"/>
    </w:pPr>
    <w:rPr>
      <w:color w:val="595959" w:themeColor="text1" w:themeTint="A6"/>
      <w:kern w:val="20"/>
      <w:sz w:val="20"/>
      <w:szCs w:val="20"/>
      <w:lang w:eastAsia="hr-HR"/>
    </w:rPr>
  </w:style>
  <w:style w:type="character" w:customStyle="1" w:styleId="Znakzaglavlja">
    <w:name w:val="Znak zaglavlja"/>
    <w:basedOn w:val="Zadanifontodlomka"/>
    <w:link w:val="zaglavlje"/>
    <w:uiPriority w:val="99"/>
    <w:rsid w:val="00C56678"/>
    <w:rPr>
      <w:color w:val="595959" w:themeColor="text1" w:themeTint="A6"/>
      <w:kern w:val="20"/>
      <w:sz w:val="20"/>
      <w:szCs w:val="20"/>
      <w:lang w:eastAsia="hr-HR"/>
    </w:rPr>
  </w:style>
  <w:style w:type="character" w:styleId="Hiperveza">
    <w:name w:val="Hyperlink"/>
    <w:basedOn w:val="Zadanifontodlomka"/>
    <w:uiPriority w:val="99"/>
    <w:unhideWhenUsed/>
    <w:rsid w:val="00C56678"/>
    <w:rPr>
      <w:color w:val="0563C1" w:themeColor="hyperlink"/>
      <w:u w:val="single"/>
    </w:rPr>
  </w:style>
  <w:style w:type="paragraph" w:styleId="Tekstbalonia">
    <w:name w:val="Balloon Text"/>
    <w:basedOn w:val="Normal"/>
    <w:link w:val="TekstbaloniaChar"/>
    <w:uiPriority w:val="99"/>
    <w:semiHidden/>
    <w:unhideWhenUsed/>
    <w:rsid w:val="0067585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585D"/>
    <w:rPr>
      <w:rFonts w:ascii="Segoe UI" w:hAnsi="Segoe UI" w:cs="Segoe UI"/>
      <w:sz w:val="18"/>
      <w:szCs w:val="18"/>
    </w:rPr>
  </w:style>
  <w:style w:type="paragraph" w:styleId="Zaglavlje0">
    <w:name w:val="header"/>
    <w:basedOn w:val="Normal"/>
    <w:link w:val="ZaglavljeChar"/>
    <w:uiPriority w:val="99"/>
    <w:unhideWhenUsed/>
    <w:rsid w:val="00602914"/>
    <w:pPr>
      <w:tabs>
        <w:tab w:val="center" w:pos="4536"/>
        <w:tab w:val="right" w:pos="9072"/>
      </w:tabs>
      <w:spacing w:after="0" w:line="240" w:lineRule="auto"/>
    </w:pPr>
  </w:style>
  <w:style w:type="character" w:customStyle="1" w:styleId="ZaglavljeChar">
    <w:name w:val="Zaglavlje Char"/>
    <w:basedOn w:val="Zadanifontodlomka"/>
    <w:link w:val="Zaglavlje0"/>
    <w:uiPriority w:val="99"/>
    <w:rsid w:val="00602914"/>
  </w:style>
  <w:style w:type="paragraph" w:styleId="Podnoje">
    <w:name w:val="footer"/>
    <w:basedOn w:val="Normal"/>
    <w:link w:val="PodnojeChar"/>
    <w:uiPriority w:val="99"/>
    <w:unhideWhenUsed/>
    <w:rsid w:val="0060291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2914"/>
  </w:style>
  <w:style w:type="paragraph" w:styleId="StandardWeb">
    <w:name w:val="Normal (Web)"/>
    <w:basedOn w:val="Normal"/>
    <w:uiPriority w:val="99"/>
    <w:semiHidden/>
    <w:unhideWhenUsed/>
    <w:rsid w:val="00B01E9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B01E93"/>
    <w:rPr>
      <w:b/>
      <w:bCs/>
    </w:rPr>
  </w:style>
  <w:style w:type="paragraph" w:styleId="Odlomakpopisa">
    <w:name w:val="List Paragraph"/>
    <w:basedOn w:val="Normal"/>
    <w:uiPriority w:val="34"/>
    <w:qFormat/>
    <w:rsid w:val="00313118"/>
    <w:pPr>
      <w:ind w:left="720"/>
      <w:contextualSpacing/>
    </w:pPr>
  </w:style>
  <w:style w:type="table" w:styleId="Reetkatablice">
    <w:name w:val="Table Grid"/>
    <w:basedOn w:val="Obinatablica"/>
    <w:uiPriority w:val="39"/>
    <w:rsid w:val="0035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8252">
    <w:name w:val="box_468252"/>
    <w:basedOn w:val="Normal"/>
    <w:rsid w:val="009E73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slov1Char">
    <w:name w:val="Naslov 1 Char"/>
    <w:basedOn w:val="Zadanifontodlomka"/>
    <w:link w:val="Naslov1"/>
    <w:uiPriority w:val="9"/>
    <w:rsid w:val="00CA7247"/>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CA7247"/>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CA7247"/>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semiHidden/>
    <w:rsid w:val="00CA7247"/>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semiHidden/>
    <w:rsid w:val="00CA7247"/>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semiHidden/>
    <w:rsid w:val="00CA7247"/>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semiHidden/>
    <w:rsid w:val="00CA7247"/>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semiHidden/>
    <w:rsid w:val="00CA7247"/>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CA7247"/>
    <w:rPr>
      <w:rFonts w:asciiTheme="majorHAnsi" w:eastAsiaTheme="majorEastAsia" w:hAnsiTheme="majorHAnsi" w:cstheme="majorBidi"/>
      <w:i/>
      <w:iCs/>
      <w:color w:val="272727" w:themeColor="text1" w:themeTint="D8"/>
      <w:sz w:val="21"/>
      <w:szCs w:val="21"/>
    </w:rPr>
  </w:style>
  <w:style w:type="table" w:styleId="Tablicareetke4-isticanje6">
    <w:name w:val="Grid Table 4 Accent 6"/>
    <w:basedOn w:val="Obinatablica"/>
    <w:uiPriority w:val="49"/>
    <w:rsid w:val="00CA7247"/>
    <w:pPr>
      <w:spacing w:after="0" w:line="240" w:lineRule="auto"/>
    </w:pPr>
    <w:rPr>
      <w:rFonts w:eastAsiaTheme="minorEastAsia"/>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mnatablicareetke5-isticanje61">
    <w:name w:val="Tamna tablica rešetke 5 - isticanje 61"/>
    <w:basedOn w:val="Obinatablica"/>
    <w:uiPriority w:val="50"/>
    <w:rsid w:val="00CA7247"/>
    <w:pPr>
      <w:spacing w:after="0" w:line="240" w:lineRule="auto"/>
    </w:pPr>
    <w:rPr>
      <w:rFonts w:eastAsiaTheme="minorEastAsi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Default">
    <w:name w:val="Default"/>
    <w:rsid w:val="00791B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9005">
      <w:bodyDiv w:val="1"/>
      <w:marLeft w:val="0"/>
      <w:marRight w:val="0"/>
      <w:marTop w:val="0"/>
      <w:marBottom w:val="0"/>
      <w:divBdr>
        <w:top w:val="none" w:sz="0" w:space="0" w:color="auto"/>
        <w:left w:val="none" w:sz="0" w:space="0" w:color="auto"/>
        <w:bottom w:val="none" w:sz="0" w:space="0" w:color="auto"/>
        <w:right w:val="none" w:sz="0" w:space="0" w:color="auto"/>
      </w:divBdr>
    </w:div>
    <w:div w:id="496264056">
      <w:bodyDiv w:val="1"/>
      <w:marLeft w:val="0"/>
      <w:marRight w:val="0"/>
      <w:marTop w:val="0"/>
      <w:marBottom w:val="0"/>
      <w:divBdr>
        <w:top w:val="none" w:sz="0" w:space="0" w:color="auto"/>
        <w:left w:val="none" w:sz="0" w:space="0" w:color="auto"/>
        <w:bottom w:val="none" w:sz="0" w:space="0" w:color="auto"/>
        <w:right w:val="none" w:sz="0" w:space="0" w:color="auto"/>
      </w:divBdr>
    </w:div>
    <w:div w:id="510029987">
      <w:bodyDiv w:val="1"/>
      <w:marLeft w:val="0"/>
      <w:marRight w:val="0"/>
      <w:marTop w:val="0"/>
      <w:marBottom w:val="0"/>
      <w:divBdr>
        <w:top w:val="none" w:sz="0" w:space="0" w:color="auto"/>
        <w:left w:val="none" w:sz="0" w:space="0" w:color="auto"/>
        <w:bottom w:val="none" w:sz="0" w:space="0" w:color="auto"/>
        <w:right w:val="none" w:sz="0" w:space="0" w:color="auto"/>
      </w:divBdr>
    </w:div>
    <w:div w:id="673722930">
      <w:bodyDiv w:val="1"/>
      <w:marLeft w:val="0"/>
      <w:marRight w:val="0"/>
      <w:marTop w:val="0"/>
      <w:marBottom w:val="0"/>
      <w:divBdr>
        <w:top w:val="none" w:sz="0" w:space="0" w:color="auto"/>
        <w:left w:val="none" w:sz="0" w:space="0" w:color="auto"/>
        <w:bottom w:val="none" w:sz="0" w:space="0" w:color="auto"/>
        <w:right w:val="none" w:sz="0" w:space="0" w:color="auto"/>
      </w:divBdr>
    </w:div>
    <w:div w:id="1035691170">
      <w:bodyDiv w:val="1"/>
      <w:marLeft w:val="0"/>
      <w:marRight w:val="0"/>
      <w:marTop w:val="0"/>
      <w:marBottom w:val="0"/>
      <w:divBdr>
        <w:top w:val="none" w:sz="0" w:space="0" w:color="auto"/>
        <w:left w:val="none" w:sz="0" w:space="0" w:color="auto"/>
        <w:bottom w:val="none" w:sz="0" w:space="0" w:color="auto"/>
        <w:right w:val="none" w:sz="0" w:space="0" w:color="auto"/>
      </w:divBdr>
    </w:div>
    <w:div w:id="1076442872">
      <w:bodyDiv w:val="1"/>
      <w:marLeft w:val="0"/>
      <w:marRight w:val="0"/>
      <w:marTop w:val="0"/>
      <w:marBottom w:val="0"/>
      <w:divBdr>
        <w:top w:val="none" w:sz="0" w:space="0" w:color="auto"/>
        <w:left w:val="none" w:sz="0" w:space="0" w:color="auto"/>
        <w:bottom w:val="none" w:sz="0" w:space="0" w:color="auto"/>
        <w:right w:val="none" w:sz="0" w:space="0" w:color="auto"/>
      </w:divBdr>
    </w:div>
    <w:div w:id="1407343237">
      <w:bodyDiv w:val="1"/>
      <w:marLeft w:val="0"/>
      <w:marRight w:val="0"/>
      <w:marTop w:val="0"/>
      <w:marBottom w:val="0"/>
      <w:divBdr>
        <w:top w:val="none" w:sz="0" w:space="0" w:color="auto"/>
        <w:left w:val="none" w:sz="0" w:space="0" w:color="auto"/>
        <w:bottom w:val="none" w:sz="0" w:space="0" w:color="auto"/>
        <w:right w:val="none" w:sz="0" w:space="0" w:color="auto"/>
      </w:divBdr>
    </w:div>
    <w:div w:id="1443649254">
      <w:bodyDiv w:val="1"/>
      <w:marLeft w:val="0"/>
      <w:marRight w:val="0"/>
      <w:marTop w:val="0"/>
      <w:marBottom w:val="0"/>
      <w:divBdr>
        <w:top w:val="none" w:sz="0" w:space="0" w:color="auto"/>
        <w:left w:val="none" w:sz="0" w:space="0" w:color="auto"/>
        <w:bottom w:val="none" w:sz="0" w:space="0" w:color="auto"/>
        <w:right w:val="none" w:sz="0" w:space="0" w:color="auto"/>
      </w:divBdr>
    </w:div>
    <w:div w:id="1572813069">
      <w:bodyDiv w:val="1"/>
      <w:marLeft w:val="0"/>
      <w:marRight w:val="0"/>
      <w:marTop w:val="0"/>
      <w:marBottom w:val="0"/>
      <w:divBdr>
        <w:top w:val="none" w:sz="0" w:space="0" w:color="auto"/>
        <w:left w:val="none" w:sz="0" w:space="0" w:color="auto"/>
        <w:bottom w:val="none" w:sz="0" w:space="0" w:color="auto"/>
        <w:right w:val="none" w:sz="0" w:space="0" w:color="auto"/>
      </w:divBdr>
      <w:divsChild>
        <w:div w:id="1877424271">
          <w:blockQuote w:val="1"/>
          <w:marLeft w:val="600"/>
          <w:marRight w:val="600"/>
          <w:marTop w:val="360"/>
          <w:marBottom w:val="360"/>
          <w:divBdr>
            <w:top w:val="none" w:sz="0" w:space="0" w:color="auto"/>
            <w:left w:val="none" w:sz="0" w:space="0" w:color="auto"/>
            <w:bottom w:val="none" w:sz="0" w:space="0" w:color="auto"/>
            <w:right w:val="none" w:sz="0" w:space="0" w:color="auto"/>
          </w:divBdr>
        </w:div>
      </w:divsChild>
    </w:div>
    <w:div w:id="1685090550">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108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ASNA\Desktop\www.komunalnohvar.com" TargetMode="Externa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7ABF8-813B-44B0-8F3B-96BBD8B9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2064</Words>
  <Characters>11768</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vuljan</dc:creator>
  <cp:keywords/>
  <dc:description/>
  <cp:lastModifiedBy>Racunovodstvo KomHvar</cp:lastModifiedBy>
  <cp:revision>4</cp:revision>
  <cp:lastPrinted>2025-01-16T11:20:00Z</cp:lastPrinted>
  <dcterms:created xsi:type="dcterms:W3CDTF">2026-07-10T07:14:00Z</dcterms:created>
  <dcterms:modified xsi:type="dcterms:W3CDTF">2026-07-10T08:49:00Z</dcterms:modified>
</cp:coreProperties>
</file>